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12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6"/>
          <w:szCs w:val="36"/>
        </w:rPr>
        <w:t>研究生课程教学大纲（模板）</w:t>
      </w:r>
    </w:p>
    <w:tbl>
      <w:tblPr>
        <w:tblStyle w:val="8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17"/>
        <w:gridCol w:w="1781"/>
        <w:gridCol w:w="346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12" w:lineRule="auto"/>
              <w:ind w:right="32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56"/>
                <w:kern w:val="0"/>
                <w:sz w:val="30"/>
                <w:szCs w:val="30"/>
                <w:fitText w:val="1950" w:id="2074232832"/>
              </w:rPr>
              <w:t>课程名称</w:t>
            </w:r>
            <w:r>
              <w:rPr>
                <w:rFonts w:hint="eastAsia" w:ascii="黑体" w:hAnsi="黑体" w:eastAsia="黑体"/>
                <w:spacing w:val="1"/>
                <w:kern w:val="0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</w:tcPr>
          <w:p>
            <w:pPr>
              <w:spacing w:line="312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能源转化与储存材料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9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12" w:lineRule="auto"/>
              <w:ind w:right="320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</w:tcPr>
          <w:p>
            <w:pPr>
              <w:spacing w:line="312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Energy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C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onversion and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S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torage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M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aterials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69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12" w:lineRule="auto"/>
              <w:ind w:right="32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56"/>
                <w:kern w:val="0"/>
                <w:sz w:val="30"/>
                <w:szCs w:val="30"/>
                <w:fitText w:val="1950" w:id="2074232832"/>
              </w:rPr>
              <w:t>课程编号</w:t>
            </w:r>
            <w:r>
              <w:rPr>
                <w:rFonts w:hint="eastAsia" w:ascii="黑体" w:hAnsi="黑体" w:eastAsia="黑体"/>
                <w:spacing w:val="1"/>
                <w:kern w:val="0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</w:tcPr>
          <w:p>
            <w:pPr>
              <w:spacing w:line="312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ZX14301D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789" w:type="dxa"/>
            <w:gridSpan w:val="6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华文中宋" w:hAnsi="华文中宋" w:eastAsia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69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pacing w:val="13"/>
                <w:kern w:val="0"/>
                <w:sz w:val="24"/>
                <w:szCs w:val="24"/>
                <w:fitText w:val="1755" w:id="2074232321"/>
              </w:rPr>
              <w:t>开 课 单 位</w:t>
            </w:r>
            <w:r>
              <w:rPr>
                <w:rFonts w:hint="eastAsia" w:eastAsia="黑体"/>
                <w:spacing w:val="6"/>
                <w:kern w:val="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材料科学与工程学院</w:t>
            </w:r>
          </w:p>
        </w:tc>
        <w:tc>
          <w:tcPr>
            <w:tcW w:w="1905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pacing w:val="69"/>
                <w:kern w:val="0"/>
                <w:sz w:val="24"/>
                <w:szCs w:val="24"/>
                <w:fitText w:val="1755" w:id="2074232321"/>
              </w:rPr>
              <w:t>开课学期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9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pacing w:val="13"/>
                <w:kern w:val="0"/>
                <w:sz w:val="24"/>
                <w:szCs w:val="24"/>
                <w:fitText w:val="1755" w:id="2074232321"/>
              </w:rPr>
              <w:t>课 内 学 时</w:t>
            </w:r>
            <w:r>
              <w:rPr>
                <w:rFonts w:hint="eastAsia" w:eastAsia="黑体"/>
                <w:spacing w:val="6"/>
                <w:kern w:val="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05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>
              <w:rPr>
                <w:rFonts w:hint="eastAsia" w:eastAsia="黑体"/>
                <w:spacing w:val="46"/>
                <w:kern w:val="0"/>
                <w:sz w:val="24"/>
                <w:szCs w:val="24"/>
                <w:fitText w:val="1755" w:id="2074232321"/>
              </w:rPr>
              <w:t>学    分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69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pacing w:val="30"/>
                <w:kern w:val="0"/>
                <w:sz w:val="24"/>
                <w:szCs w:val="24"/>
                <w:fitText w:val="1680" w:id="2078977792"/>
              </w:rPr>
              <w:t xml:space="preserve">适 用 学 </w:t>
            </w:r>
            <w:r>
              <w:rPr>
                <w:rFonts w:hint="eastAsia" w:eastAsia="黑体"/>
                <w:spacing w:val="0"/>
                <w:kern w:val="0"/>
                <w:sz w:val="24"/>
                <w:szCs w:val="24"/>
                <w:fitText w:val="1680" w:id="2078977792"/>
              </w:rPr>
              <w:t>科</w:t>
            </w:r>
            <w:r>
              <w:rPr>
                <w:rFonts w:hint="eastAsia" w:eastAsia="黑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pacing w:val="31"/>
                <w:kern w:val="0"/>
                <w:sz w:val="24"/>
                <w:szCs w:val="24"/>
                <w:fitText w:val="1755" w:id="2074232321"/>
              </w:rPr>
              <w:t>专业及层次</w:t>
            </w:r>
            <w:r>
              <w:rPr>
                <w:rFonts w:hint="eastAsia" w:eastAsia="黑体"/>
                <w:spacing w:val="2"/>
                <w:kern w:val="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eastAsia" w:eastAsia="黑体"/>
                <w:sz w:val="24"/>
                <w:szCs w:val="24"/>
              </w:rPr>
              <w:t>学术学位博士/专业学位博士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pacing w:val="69"/>
                <w:kern w:val="0"/>
                <w:sz w:val="24"/>
                <w:szCs w:val="24"/>
                <w:fitText w:val="1755" w:id="2074232321"/>
              </w:rPr>
              <w:t>授课语言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pacing w:val="69"/>
                <w:kern w:val="0"/>
                <w:sz w:val="24"/>
                <w:szCs w:val="24"/>
                <w:fitText w:val="1755" w:id="2074232321"/>
              </w:rPr>
              <w:t>先修课程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pacing w:val="132"/>
                <w:kern w:val="0"/>
                <w:sz w:val="24"/>
                <w:szCs w:val="24"/>
                <w:fitText w:val="1755" w:id="2074232321"/>
              </w:rPr>
              <w:t>负责人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李希友</w:t>
            </w:r>
          </w:p>
        </w:tc>
        <w:tc>
          <w:tcPr>
            <w:tcW w:w="2127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pacing w:val="69"/>
                <w:kern w:val="0"/>
                <w:sz w:val="24"/>
                <w:szCs w:val="24"/>
                <w:fitText w:val="1755" w:id="2074232321"/>
              </w:rPr>
              <w:t>团队成员</w:t>
            </w:r>
            <w:r>
              <w:rPr>
                <w:rFonts w:hint="eastAsia" w:eastAsia="黑体"/>
                <w:spacing w:val="1"/>
                <w:kern w:val="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陈艳丽，杨广武</w:t>
            </w:r>
          </w:p>
        </w:tc>
      </w:tr>
    </w:tbl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</w:p>
    <w:p>
      <w:pPr>
        <w:spacing w:before="156" w:beforeLines="50" w:line="30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一、课程简介</w:t>
      </w:r>
    </w:p>
    <w:p>
      <w:pPr>
        <w:pStyle w:val="2"/>
        <w:snapToGrid w:val="0"/>
        <w:spacing w:line="300" w:lineRule="auto"/>
        <w:ind w:firstLine="480" w:firstLineChars="200"/>
        <w:rPr>
          <w:rFonts w:hint="eastAsia"/>
          <w:i w:val="0"/>
          <w:iCs/>
          <w:sz w:val="24"/>
          <w:szCs w:val="24"/>
          <w:lang w:eastAsia="zh-CN"/>
        </w:rPr>
      </w:pPr>
      <w:r>
        <w:rPr>
          <w:rFonts w:hint="eastAsia"/>
          <w:i/>
          <w:sz w:val="24"/>
          <w:szCs w:val="24"/>
        </w:rPr>
        <w:t>（300-500字，为宋体小四号字。简要介绍的性质、主要教学内容、课程学习目标等。）</w:t>
      </w:r>
      <w:r>
        <w:rPr>
          <w:rFonts w:hint="eastAsia"/>
          <w:i/>
          <w:sz w:val="24"/>
          <w:szCs w:val="24"/>
          <w:lang w:val="en-US" w:eastAsia="zh-CN"/>
        </w:rPr>
        <w:t>本</w:t>
      </w:r>
      <w:r>
        <w:rPr>
          <w:rFonts w:hint="eastAsia"/>
          <w:i w:val="0"/>
          <w:iCs/>
          <w:sz w:val="24"/>
          <w:szCs w:val="24"/>
          <w:lang w:val="en-US" w:eastAsia="zh-CN"/>
        </w:rPr>
        <w:t>课程为材料学院材料科学与工程专业博士研究生的专业选修课。本课程主要</w:t>
      </w:r>
      <w:r>
        <w:rPr>
          <w:rFonts w:hint="eastAsia"/>
          <w:i w:val="0"/>
          <w:iCs/>
          <w:sz w:val="24"/>
          <w:szCs w:val="24"/>
        </w:rPr>
        <w:t>以</w:t>
      </w:r>
      <w:r>
        <w:rPr>
          <w:rFonts w:hint="eastAsia"/>
          <w:i w:val="0"/>
          <w:iCs/>
          <w:sz w:val="24"/>
          <w:szCs w:val="24"/>
          <w:lang w:val="en-US" w:eastAsia="zh-CN"/>
        </w:rPr>
        <w:t>新</w:t>
      </w:r>
      <w:r>
        <w:rPr>
          <w:rFonts w:hint="eastAsia"/>
          <w:i w:val="0"/>
          <w:iCs/>
          <w:sz w:val="24"/>
          <w:szCs w:val="24"/>
        </w:rPr>
        <w:t>能源转化与储存材料的获取</w:t>
      </w:r>
      <w:r>
        <w:rPr>
          <w:rFonts w:hint="eastAsia"/>
          <w:i w:val="0"/>
          <w:iCs/>
          <w:sz w:val="24"/>
          <w:szCs w:val="24"/>
          <w:lang w:val="en-US" w:eastAsia="zh-CN"/>
        </w:rPr>
        <w:t>和</w:t>
      </w:r>
      <w:r>
        <w:rPr>
          <w:rFonts w:hint="eastAsia"/>
          <w:i w:val="0"/>
          <w:iCs/>
          <w:sz w:val="24"/>
          <w:szCs w:val="24"/>
        </w:rPr>
        <w:t>利用</w:t>
      </w:r>
      <w:r>
        <w:rPr>
          <w:rFonts w:hint="eastAsia"/>
          <w:i w:val="0"/>
          <w:iCs/>
          <w:sz w:val="24"/>
          <w:szCs w:val="24"/>
          <w:lang w:val="en-US" w:eastAsia="zh-CN"/>
        </w:rPr>
        <w:t>的前沿进展为主要内容</w:t>
      </w:r>
      <w:r>
        <w:rPr>
          <w:rFonts w:hint="eastAsia"/>
          <w:i w:val="0"/>
          <w:iCs/>
          <w:sz w:val="24"/>
          <w:szCs w:val="24"/>
          <w:lang w:eastAsia="zh-CN"/>
        </w:rPr>
        <w:t>，</w:t>
      </w:r>
      <w:r>
        <w:rPr>
          <w:rFonts w:hint="eastAsia"/>
          <w:i w:val="0"/>
          <w:iCs/>
          <w:sz w:val="24"/>
          <w:szCs w:val="24"/>
          <w:lang w:val="en-US" w:eastAsia="zh-CN"/>
        </w:rPr>
        <w:t>使学生了解</w:t>
      </w:r>
      <w:r>
        <w:rPr>
          <w:rFonts w:hint="eastAsia"/>
          <w:i w:val="0"/>
          <w:iCs/>
          <w:sz w:val="24"/>
          <w:szCs w:val="24"/>
        </w:rPr>
        <w:t>触发新能源材料的研究</w:t>
      </w:r>
      <w:r>
        <w:rPr>
          <w:rFonts w:hint="eastAsia"/>
          <w:i w:val="0"/>
          <w:iCs/>
          <w:sz w:val="24"/>
          <w:szCs w:val="24"/>
          <w:lang w:val="en-US" w:eastAsia="zh-CN"/>
        </w:rPr>
        <w:t>的</w:t>
      </w:r>
      <w:r>
        <w:rPr>
          <w:rFonts w:hint="eastAsia"/>
          <w:i w:val="0"/>
          <w:iCs/>
          <w:sz w:val="24"/>
          <w:szCs w:val="24"/>
        </w:rPr>
        <w:t>持续的能源、环境压力</w:t>
      </w:r>
      <w:r>
        <w:rPr>
          <w:rFonts w:hint="eastAsia"/>
          <w:i w:val="0"/>
          <w:iCs/>
          <w:sz w:val="24"/>
          <w:szCs w:val="24"/>
          <w:lang w:val="en-US" w:eastAsia="zh-CN"/>
        </w:rPr>
        <w:t>;掌握重要能源转化和储存材料，包括优质石墨烯复合、金属-有机框架材料、锂离子电池用相关高分子材料、光电转换材料等的设计原则、选材原则、制备方法，结构、性能与应用的关系；在此基础上，熟悉针对活性位点的各种调节策略，以及相应的光/电催化剂合成方法和光/电催化活性的促进机制</w:t>
      </w:r>
      <w:r>
        <w:rPr>
          <w:rFonts w:hint="eastAsia"/>
          <w:i w:val="0"/>
          <w:iCs/>
          <w:sz w:val="24"/>
          <w:szCs w:val="24"/>
          <w:lang w:eastAsia="zh-CN"/>
        </w:rPr>
        <w:t>。</w:t>
      </w:r>
    </w:p>
    <w:p>
      <w:pPr>
        <w:pStyle w:val="2"/>
        <w:snapToGrid w:val="0"/>
        <w:spacing w:line="300" w:lineRule="auto"/>
        <w:ind w:firstLine="480" w:firstLineChars="200"/>
        <w:rPr>
          <w:rFonts w:hint="eastAsia"/>
          <w:i/>
          <w:sz w:val="24"/>
          <w:szCs w:val="24"/>
        </w:rPr>
      </w:pPr>
    </w:p>
    <w:p>
      <w:pPr>
        <w:spacing w:line="30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二、课程大纲</w:t>
      </w:r>
    </w:p>
    <w:p>
      <w:pPr>
        <w:spacing w:line="300" w:lineRule="auto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（一）课程目标</w:t>
      </w:r>
    </w:p>
    <w:p>
      <w:pPr>
        <w:spacing w:line="300" w:lineRule="auto"/>
        <w:rPr>
          <w:rFonts w:hint="eastAsia"/>
          <w:i w:val="0"/>
          <w:iCs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目标1：</w:t>
      </w:r>
      <w:r>
        <w:rPr>
          <w:rFonts w:hint="eastAsia" w:asciiTheme="minorEastAsia" w:hAnsiTheme="minorEastAsia" w:eastAsiaTheme="minorEastAsia"/>
          <w:sz w:val="24"/>
          <w:szCs w:val="24"/>
        </w:rPr>
        <w:t>掌握</w:t>
      </w:r>
      <w:r>
        <w:rPr>
          <w:rFonts w:hint="eastAsia"/>
          <w:i w:val="0"/>
          <w:iCs/>
          <w:sz w:val="24"/>
          <w:szCs w:val="24"/>
        </w:rPr>
        <w:t>能源转化与储存材料</w:t>
      </w:r>
      <w:r>
        <w:rPr>
          <w:rFonts w:hint="eastAsia"/>
          <w:i w:val="0"/>
          <w:iCs/>
          <w:sz w:val="24"/>
          <w:szCs w:val="24"/>
          <w:lang w:val="en-US" w:eastAsia="zh-CN"/>
        </w:rPr>
        <w:t>领域的前沿研究趋势与概况</w:t>
      </w:r>
    </w:p>
    <w:p>
      <w:pPr>
        <w:spacing w:line="300" w:lineRule="auto"/>
        <w:rPr>
          <w:rFonts w:hint="default" w:eastAsia="宋体"/>
          <w:i w:val="0"/>
          <w:iCs/>
          <w:sz w:val="24"/>
          <w:szCs w:val="24"/>
          <w:lang w:val="en-US" w:eastAsia="zh-CN"/>
        </w:rPr>
      </w:pPr>
      <w:r>
        <w:rPr>
          <w:rFonts w:hint="eastAsia"/>
          <w:i w:val="0"/>
          <w:iCs/>
          <w:sz w:val="24"/>
          <w:szCs w:val="24"/>
          <w:lang w:val="en-US" w:eastAsia="zh-CN"/>
        </w:rPr>
        <w:t>理解</w:t>
      </w:r>
      <w:r>
        <w:rPr>
          <w:rFonts w:hint="eastAsia"/>
          <w:i w:val="0"/>
          <w:iCs/>
          <w:sz w:val="24"/>
          <w:szCs w:val="24"/>
        </w:rPr>
        <w:t>能源转化与储存材料</w:t>
      </w:r>
      <w:r>
        <w:rPr>
          <w:rFonts w:hint="eastAsia"/>
          <w:i w:val="0"/>
          <w:iCs/>
          <w:sz w:val="24"/>
          <w:szCs w:val="24"/>
          <w:lang w:val="en-US" w:eastAsia="zh-CN"/>
        </w:rPr>
        <w:t>的特点和储能机理，掌握相关材料的制备策略、表征和评价方法</w:t>
      </w: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auto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sz w:val="24"/>
          <w:szCs w:val="24"/>
        </w:rPr>
        <w:t>目标2：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理解环境保护与可持续发展的理念和内涵</w:t>
      </w:r>
    </w:p>
    <w:p>
      <w:pPr>
        <w:spacing w:line="30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建立能源材料的可持续发展观；熟悉能源材料全生命周期对人体健康、生态环境、社会经济可持续发展的影响。</w:t>
      </w:r>
    </w:p>
    <w:p>
      <w:pPr>
        <w:pStyle w:val="2"/>
        <w:snapToGrid w:val="0"/>
        <w:spacing w:line="30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2"/>
        <w:snapToGrid w:val="0"/>
        <w:spacing w:line="300" w:lineRule="auto"/>
        <w:rPr>
          <w:rFonts w:hint="eastAsia"/>
          <w:i w:val="0"/>
          <w:i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目标3：</w:t>
      </w:r>
      <w:r>
        <w:rPr>
          <w:rFonts w:hint="eastAsia"/>
          <w:i w:val="0"/>
          <w:iCs/>
          <w:sz w:val="24"/>
          <w:szCs w:val="24"/>
          <w:lang w:val="en-US" w:eastAsia="zh-CN"/>
        </w:rPr>
        <w:t>掌握几种特殊结构能源转化和储存材料的设计原则、选材原则、制备方法，结构、性能与应用的关系</w:t>
      </w:r>
    </w:p>
    <w:p>
      <w:pPr>
        <w:pStyle w:val="2"/>
        <w:snapToGrid w:val="0"/>
        <w:spacing w:line="300" w:lineRule="auto"/>
        <w:rPr>
          <w:rFonts w:hint="eastAsia"/>
          <w:i w:val="0"/>
          <w:iCs/>
          <w:sz w:val="24"/>
          <w:szCs w:val="24"/>
          <w:lang w:val="en-US" w:eastAsia="zh-CN"/>
        </w:rPr>
      </w:pPr>
      <w:r>
        <w:rPr>
          <w:rFonts w:hint="eastAsia"/>
          <w:i w:val="0"/>
          <w:iCs/>
          <w:sz w:val="24"/>
          <w:szCs w:val="24"/>
          <w:lang w:val="en-US" w:eastAsia="zh-CN"/>
        </w:rPr>
        <w:t>能运用相关知识，对其实际应用中的复杂科学问题和工程问题进行分析</w:t>
      </w:r>
    </w:p>
    <w:p>
      <w:pPr>
        <w:pStyle w:val="2"/>
        <w:snapToGrid w:val="0"/>
        <w:spacing w:line="30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2"/>
        <w:snapToGrid w:val="0"/>
        <w:spacing w:line="300" w:lineRule="auto"/>
        <w:rPr>
          <w:rFonts w:hint="eastAsia"/>
          <w:i w:val="0"/>
          <w:i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目标:4：</w:t>
      </w:r>
      <w:r>
        <w:rPr>
          <w:rFonts w:hint="eastAsia"/>
          <w:i w:val="0"/>
          <w:iCs/>
          <w:sz w:val="24"/>
          <w:szCs w:val="24"/>
          <w:lang w:val="en-US" w:eastAsia="zh-CN"/>
        </w:rPr>
        <w:t>熟悉针对活性位点的各种调节策略，以及相应的光/电催化剂合成方法和光/</w:t>
      </w:r>
      <w:bookmarkStart w:id="0" w:name="OLE_LINK1"/>
      <w:r>
        <w:rPr>
          <w:rFonts w:hint="eastAsia"/>
          <w:i w:val="0"/>
          <w:iCs/>
          <w:sz w:val="24"/>
          <w:szCs w:val="24"/>
          <w:lang w:val="en-US" w:eastAsia="zh-CN"/>
        </w:rPr>
        <w:t>电催化活性的促进机制</w:t>
      </w:r>
      <w:bookmarkEnd w:id="0"/>
      <w:r>
        <w:rPr>
          <w:rFonts w:hint="eastAsia"/>
          <w:i w:val="0"/>
          <w:iCs/>
          <w:sz w:val="24"/>
          <w:szCs w:val="24"/>
          <w:lang w:eastAsia="zh-CN"/>
        </w:rPr>
        <w:t>。</w:t>
      </w:r>
    </w:p>
    <w:p>
      <w:pPr>
        <w:pStyle w:val="2"/>
        <w:snapToGrid w:val="0"/>
        <w:spacing w:line="300" w:lineRule="auto"/>
        <w:rPr>
          <w:rFonts w:hint="default"/>
          <w:i w:val="0"/>
          <w:iCs/>
          <w:sz w:val="24"/>
          <w:szCs w:val="24"/>
          <w:lang w:val="en-US" w:eastAsia="zh-CN"/>
        </w:rPr>
      </w:pPr>
      <w:r>
        <w:rPr>
          <w:rFonts w:hint="eastAsia"/>
          <w:i w:val="0"/>
          <w:iCs/>
          <w:sz w:val="24"/>
          <w:szCs w:val="24"/>
          <w:lang w:val="en-US" w:eastAsia="zh-CN"/>
        </w:rPr>
        <w:t>能通过理解催化机制指导材料设计和制备方法的优化</w:t>
      </w:r>
    </w:p>
    <w:p>
      <w:pPr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br w:type="page"/>
      </w:r>
    </w:p>
    <w:p>
      <w:pPr>
        <w:spacing w:line="300" w:lineRule="auto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（二）课程内容</w:t>
      </w:r>
    </w:p>
    <w:tbl>
      <w:tblPr>
        <w:tblStyle w:val="8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8" w:hRule="atLeast"/>
        </w:trPr>
        <w:tc>
          <w:tcPr>
            <w:tcW w:w="8789" w:type="dxa"/>
          </w:tcPr>
          <w:p>
            <w:pPr>
              <w:spacing w:line="30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章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绪论</w:t>
            </w:r>
          </w:p>
          <w:p>
            <w:pPr>
              <w:tabs>
                <w:tab w:val="left" w:pos="4171"/>
              </w:tabs>
              <w:spacing w:line="30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本章重点难点：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能源及能源的分类，</w:t>
            </w:r>
            <w:r>
              <w:rPr>
                <w:rFonts w:hint="eastAsia"/>
                <w:sz w:val="24"/>
                <w:szCs w:val="24"/>
              </w:rPr>
              <w:t>世界以及我国能源形势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与可持续发展</w:t>
            </w:r>
          </w:p>
          <w:p>
            <w:pPr>
              <w:tabs>
                <w:tab w:val="left" w:pos="4171"/>
              </w:tabs>
              <w:spacing w:line="300" w:lineRule="auto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bookmarkStart w:id="1" w:name="OLE_LINK3"/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.1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引言</w:t>
            </w:r>
          </w:p>
          <w:p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什么是能源，能源的分类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tabs>
                <w:tab w:val="left" w:pos="4171"/>
              </w:tabs>
              <w:spacing w:line="30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 2 世界以及我国能源形势</w:t>
            </w: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/>
                <w:sz w:val="24"/>
                <w:szCs w:val="24"/>
              </w:rPr>
              <w:t xml:space="preserve"> 能源的评价与研究</w:t>
            </w: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/>
                <w:sz w:val="24"/>
                <w:szCs w:val="24"/>
              </w:rPr>
              <w:t xml:space="preserve"> 新能源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的未来-挑战与机遇</w:t>
            </w:r>
            <w:bookmarkEnd w:id="1"/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第2章 电化学催化能源转化材料</w:t>
            </w: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2.1电化学催化能源转化材料发展概况</w:t>
            </w: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2.2 </w:t>
            </w:r>
            <w:bookmarkStart w:id="2" w:name="OLE_LINK2"/>
            <w:r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  <w:t>材料的设计和选材原则</w:t>
            </w:r>
          </w:p>
          <w:bookmarkEnd w:id="2"/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  <w:t>2.3 M-N-C的本征电催化活性调控</w:t>
            </w:r>
            <w:r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  <w:t>2.4结构表征、电催化活性的促进机制</w:t>
            </w: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  <w:t>2.5氧还原的单原子催化剂</w:t>
            </w: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  <w:t>2.6性能与应用</w:t>
            </w: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171"/>
              </w:tabs>
              <w:spacing w:line="300" w:lineRule="auto"/>
              <w:ind w:left="-60" w:leftChars="0" w:firstLine="48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  <w:t>光催化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能源转化材料</w:t>
            </w: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 光催化能源转化材料发展概况</w:t>
            </w: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3.2 </w:t>
            </w:r>
            <w:r>
              <w:rPr>
                <w:rFonts w:hint="eastAsia"/>
                <w:i w:val="0"/>
                <w:iCs/>
                <w:sz w:val="24"/>
                <w:szCs w:val="24"/>
                <w:lang w:val="en-US" w:eastAsia="zh-CN"/>
              </w:rPr>
              <w:t>材料的本征特性及重塑原则</w:t>
            </w:r>
          </w:p>
          <w:p>
            <w:pPr>
              <w:tabs>
                <w:tab w:val="left" w:pos="4171"/>
              </w:tabs>
              <w:spacing w:line="30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拓宽光吸收波长，活性反应位点的设计和 电子空穴的控制复合。</w:t>
            </w:r>
          </w:p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3.3在能量转换中的应用和环境修复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析氢、二氧化碳还原、固氮和定向合成；空气净化和废水处理。</w:t>
            </w:r>
          </w:p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3.4 硅/ 2d材料光电探测器:从近红外到中红外</w:t>
            </w:r>
          </w:p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第4章高能锂离子电池</w:t>
            </w:r>
          </w:p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4.1电极材料-类别与应用</w:t>
            </w:r>
          </w:p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4.2微型硅阳极:基本概念和工业前景</w:t>
            </w:r>
          </w:p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4.3 实用锂电池有机电极材料的发展前景</w:t>
            </w:r>
          </w:p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第5章 新材料、新结构、好性质</w:t>
            </w:r>
          </w:p>
          <w:p>
            <w:pPr>
              <w:tabs>
                <w:tab w:val="left" w:pos="4171"/>
              </w:tabs>
              <w:spacing w:line="300" w:lineRule="auto"/>
              <w:ind w:left="479" w:leftChars="228" w:firstLine="0" w:firstLineChars="0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以课程报告加讨论方式围绕能源新材料、新结构、好性质进行专题研讨</w:t>
            </w:r>
          </w:p>
        </w:tc>
      </w:tr>
    </w:tbl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</w:p>
    <w:p>
      <w:pPr>
        <w:spacing w:line="30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三、教学安排及要求</w:t>
      </w:r>
      <w:r>
        <w:rPr>
          <w:rFonts w:hint="eastAsia" w:ascii="宋体" w:hAnsi="Courier New" w:cs="Courier New"/>
          <w:kern w:val="2"/>
          <w:sz w:val="24"/>
          <w:szCs w:val="24"/>
        </w:rPr>
        <w:t xml:space="preserve"> </w:t>
      </w:r>
    </w:p>
    <w:tbl>
      <w:tblPr>
        <w:tblStyle w:val="8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0"/>
        <w:gridCol w:w="3119"/>
        <w:gridCol w:w="715"/>
        <w:gridCol w:w="155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课内</w:t>
            </w:r>
          </w:p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学时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教学方式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课外</w:t>
            </w:r>
          </w:p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学时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课外环节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1.1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1.2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目标</w:t>
            </w: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2.1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目标</w:t>
            </w: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2.2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bookmarkStart w:id="3" w:name="OLE_LINK4"/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  <w:bookmarkEnd w:id="3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2.3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2.4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目标</w:t>
            </w:r>
            <w:r>
              <w:rPr>
                <w:rFonts w:hint="eastAsia" w:eastAsia="黑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2.5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2.6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3.1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bookmarkStart w:id="4" w:name="OLE_LINK5"/>
            <w:r>
              <w:rPr>
                <w:rFonts w:hint="eastAsia" w:eastAsia="黑体"/>
                <w:sz w:val="24"/>
              </w:rPr>
              <w:t>目标</w:t>
            </w: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3.2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目标</w:t>
            </w:r>
            <w:r>
              <w:rPr>
                <w:rFonts w:hint="eastAsia" w:eastAsia="黑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3.3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3.4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4.1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目标</w:t>
            </w: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4.2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1"/>
                <w:lang w:eastAsia="zh-CN"/>
              </w:rPr>
            </w:pPr>
            <w:r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4.3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理论</w:t>
            </w:r>
            <w:r>
              <w:rPr>
                <w:rFonts w:eastAsia="黑体"/>
                <w:sz w:val="24"/>
              </w:rPr>
              <w:t>讲授/</w:t>
            </w:r>
            <w:r>
              <w:rPr>
                <w:rFonts w:hint="eastAsia" w:eastAsia="黑体"/>
                <w:sz w:val="24"/>
              </w:rPr>
              <w:t>案例研讨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hint="eastAsia" w:eastAsia="黑体"/>
                <w:sz w:val="24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5.1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课程报告/专题研讨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  <w:p>
            <w:pPr>
              <w:jc w:val="center"/>
              <w:rPr>
                <w:rFonts w:hint="default" w:eastAsia="黑体"/>
                <w:sz w:val="24"/>
                <w:lang w:val="en-US"/>
              </w:rPr>
            </w:pPr>
            <w:bookmarkStart w:id="5" w:name="OLE_LINK6"/>
            <w:r>
              <w:rPr>
                <w:rFonts w:hint="eastAsia" w:eastAsia="黑体"/>
                <w:sz w:val="24"/>
              </w:rPr>
              <w:t>目标</w:t>
            </w:r>
            <w:r>
              <w:rPr>
                <w:rFonts w:hint="eastAsia" w:eastAsia="黑体"/>
                <w:sz w:val="24"/>
                <w:lang w:val="en-US" w:eastAsia="zh-CN"/>
              </w:rPr>
              <w:t>3/4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5.2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课程报告/专题研讨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/>
              </w:rPr>
            </w:pPr>
            <w:r>
              <w:rPr>
                <w:rFonts w:hint="eastAsia" w:eastAsia="黑体"/>
                <w:sz w:val="24"/>
              </w:rPr>
              <w:t>目标</w:t>
            </w:r>
            <w:r>
              <w:rPr>
                <w:rFonts w:hint="eastAsia" w:eastAsia="黑体"/>
                <w:sz w:val="24"/>
                <w:lang w:val="en-US" w:eastAsia="zh-CN"/>
              </w:rPr>
              <w:t>3/4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5.3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课程报告/专题研讨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文献阅读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hint="eastAsia" w:eastAsia="黑体"/>
                <w:sz w:val="24"/>
              </w:rPr>
              <w:t>专题调研等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/>
              </w:rPr>
            </w:pPr>
            <w:r>
              <w:rPr>
                <w:rFonts w:hint="eastAsia" w:eastAsia="黑体"/>
                <w:sz w:val="24"/>
              </w:rPr>
              <w:t>目标</w:t>
            </w:r>
            <w:r>
              <w:rPr>
                <w:rFonts w:hint="eastAsia" w:eastAsia="黑体"/>
                <w:sz w:val="24"/>
                <w:lang w:val="en-US" w:eastAsia="zh-CN"/>
              </w:rPr>
              <w:t>3/4</w:t>
            </w:r>
          </w:p>
        </w:tc>
      </w:tr>
    </w:tbl>
    <w:p>
      <w:pPr>
        <w:spacing w:line="30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四、考核内容、方式及评分标准</w:t>
      </w:r>
    </w:p>
    <w:p>
      <w:pPr>
        <w:spacing w:line="300" w:lineRule="auto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（一）考核环节</w:t>
      </w:r>
    </w:p>
    <w:tbl>
      <w:tblPr>
        <w:tblStyle w:val="8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678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考核环节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总成绩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占比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支撑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平时作业</w:t>
            </w:r>
          </w:p>
        </w:tc>
        <w:tc>
          <w:tcPr>
            <w:tcW w:w="46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1．共布置若干道题目，平均每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章2-3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道题。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2．成绩采用百分制，根据作业完成准确性、是否按时上交、是否独立完成评分。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3．考核学生对基本知识的掌握能力，综合运用所学知识分析问题、解决问题的能力，题型主要有分析计算、调研报告、案例分析报告、文献综述等。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20%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目标1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课堂表现</w:t>
            </w:r>
          </w:p>
        </w:tc>
        <w:tc>
          <w:tcPr>
            <w:tcW w:w="46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1．本课程要求每个学生有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2次课堂报告（专题报告/案例分析报告），占比50%。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2．成绩采用百分制，主要根据PPT准备、讲述表现、综合应用知识分析问题解决问题的能力、创新性等评分。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目标1、2、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课程论文</w:t>
            </w:r>
          </w:p>
        </w:tc>
        <w:tc>
          <w:tcPr>
            <w:tcW w:w="4678" w:type="dxa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1．成绩采用百分制，卷面成绩总分100分。</w:t>
            </w:r>
          </w:p>
          <w:p>
            <w:pPr>
              <w:spacing w:line="30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2．主要考核学生综合运用所学知识分析问题、解决问题的能力。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40%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目标1-4</w:t>
            </w:r>
          </w:p>
        </w:tc>
      </w:tr>
    </w:tbl>
    <w:p>
      <w:pPr>
        <w:spacing w:line="300" w:lineRule="auto"/>
        <w:rPr>
          <w:rFonts w:hint="eastAsia" w:eastAsia="黑体"/>
          <w:sz w:val="24"/>
          <w:szCs w:val="24"/>
        </w:rPr>
      </w:pPr>
    </w:p>
    <w:p>
      <w:pPr>
        <w:spacing w:line="300" w:lineRule="auto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（二）评分标准</w:t>
      </w:r>
    </w:p>
    <w:tbl>
      <w:tblPr>
        <w:tblStyle w:val="8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738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考核</w:t>
            </w:r>
            <w:r>
              <w:rPr>
                <w:rFonts w:hint="eastAsia" w:eastAsia="黑体"/>
                <w:sz w:val="24"/>
              </w:rPr>
              <w:t>环节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60</w:t>
            </w:r>
            <w:r>
              <w:rPr>
                <w:rFonts w:ascii="黑体" w:hAnsi="黑体" w:eastAsia="黑体"/>
                <w:sz w:val="24"/>
              </w:rPr>
              <w:t>-</w:t>
            </w:r>
            <w:r>
              <w:rPr>
                <w:rFonts w:hint="eastAsia" w:ascii="黑体" w:hAnsi="黑体" w:eastAsia="黑体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75</w:t>
            </w:r>
            <w:r>
              <w:rPr>
                <w:rFonts w:ascii="黑体" w:hAnsi="黑体" w:eastAsia="黑体"/>
                <w:sz w:val="24"/>
              </w:rPr>
              <w:t>-</w:t>
            </w:r>
            <w:r>
              <w:rPr>
                <w:rFonts w:hint="eastAsia" w:ascii="黑体" w:hAnsi="黑体" w:eastAsia="黑体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90</w:t>
            </w:r>
            <w:r>
              <w:rPr>
                <w:rFonts w:ascii="黑体" w:hAnsi="黑体" w:eastAsia="黑体"/>
                <w:sz w:val="24"/>
              </w:rPr>
              <w:t>-</w:t>
            </w:r>
            <w:r>
              <w:rPr>
                <w:rFonts w:hint="eastAsia" w:ascii="黑体" w:hAnsi="黑体" w:eastAsia="黑体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平时作业</w:t>
            </w:r>
          </w:p>
        </w:tc>
        <w:tc>
          <w:tcPr>
            <w:tcW w:w="1738" w:type="dxa"/>
          </w:tcPr>
          <w:p>
            <w:pPr>
              <w:spacing w:line="300" w:lineRule="auto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D-作业抄袭，未能按时完成，回答不完整，解题思路混乱，部分答案不准确</w:t>
            </w:r>
          </w:p>
        </w:tc>
        <w:tc>
          <w:tcPr>
            <w:tcW w:w="1701" w:type="dxa"/>
          </w:tcPr>
          <w:p>
            <w:pPr>
              <w:pStyle w:val="17"/>
              <w:spacing w:line="240" w:lineRule="auto"/>
              <w:ind w:firstLine="0"/>
              <w:jc w:val="left"/>
              <w:outlineLvl w:val="9"/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C-基本按时完成，解题思路略显模糊、步骤不完整、答案基本准确</w:t>
            </w:r>
          </w:p>
          <w:p>
            <w:pPr>
              <w:spacing w:line="300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B-按时完成，解题思路比较清晰、步骤基本完整、格式合理、答案准确率较高</w:t>
            </w:r>
          </w:p>
        </w:tc>
        <w:tc>
          <w:tcPr>
            <w:tcW w:w="1701" w:type="dxa"/>
          </w:tcPr>
          <w:p>
            <w:pPr>
              <w:pStyle w:val="17"/>
              <w:spacing w:line="240" w:lineRule="auto"/>
              <w:ind w:firstLine="0"/>
              <w:jc w:val="left"/>
              <w:outlineLvl w:val="9"/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A-独立思考、按时完成，解题思路清晰、步骤完整、格式合理、答案非常准确</w:t>
            </w:r>
          </w:p>
          <w:p>
            <w:pPr>
              <w:spacing w:line="300" w:lineRule="auto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课堂表现</w:t>
            </w:r>
          </w:p>
        </w:tc>
        <w:tc>
          <w:tcPr>
            <w:tcW w:w="1738" w:type="dxa"/>
            <w:vAlign w:val="center"/>
          </w:tcPr>
          <w:p>
            <w:pPr>
              <w:pStyle w:val="17"/>
              <w:spacing w:line="240" w:lineRule="auto"/>
              <w:ind w:firstLine="0" w:firstLineChars="0"/>
              <w:jc w:val="left"/>
              <w:outlineLvl w:val="9"/>
              <w:rPr>
                <w:rFonts w:eastAsia="黑体"/>
                <w:sz w:val="28"/>
                <w:szCs w:val="28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D-精神状态较差，回答问题有误。</w:t>
            </w:r>
          </w:p>
        </w:tc>
        <w:tc>
          <w:tcPr>
            <w:tcW w:w="1701" w:type="dxa"/>
            <w:vAlign w:val="center"/>
          </w:tcPr>
          <w:p>
            <w:pPr>
              <w:pStyle w:val="17"/>
              <w:spacing w:line="240" w:lineRule="auto"/>
              <w:ind w:firstLine="0" w:firstLineChars="0"/>
              <w:jc w:val="left"/>
              <w:outlineLvl w:val="9"/>
              <w:rPr>
                <w:rFonts w:eastAsia="黑体"/>
                <w:sz w:val="28"/>
                <w:szCs w:val="28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C-精神状态一般，问题回答一般。</w:t>
            </w:r>
          </w:p>
        </w:tc>
        <w:tc>
          <w:tcPr>
            <w:tcW w:w="1701" w:type="dxa"/>
            <w:vAlign w:val="center"/>
          </w:tcPr>
          <w:p>
            <w:pPr>
              <w:pStyle w:val="17"/>
              <w:spacing w:line="240" w:lineRule="auto"/>
              <w:ind w:firstLine="0" w:firstLineChars="0"/>
              <w:jc w:val="left"/>
              <w:outlineLvl w:val="9"/>
              <w:rPr>
                <w:rFonts w:eastAsia="黑体"/>
                <w:sz w:val="28"/>
                <w:szCs w:val="28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B-精神状态良好，问题回答较好题。</w:t>
            </w:r>
          </w:p>
        </w:tc>
        <w:tc>
          <w:tcPr>
            <w:tcW w:w="1701" w:type="dxa"/>
            <w:vAlign w:val="center"/>
          </w:tcPr>
          <w:p>
            <w:pPr>
              <w:pStyle w:val="17"/>
              <w:spacing w:line="240" w:lineRule="auto"/>
              <w:ind w:firstLine="0" w:firstLineChars="0"/>
              <w:jc w:val="left"/>
              <w:outlineLvl w:val="9"/>
              <w:rPr>
                <w:rFonts w:eastAsia="黑体"/>
                <w:sz w:val="28"/>
                <w:szCs w:val="28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A-精神状态饱满，回答问题准确；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课程论文</w:t>
            </w:r>
          </w:p>
        </w:tc>
        <w:tc>
          <w:tcPr>
            <w:tcW w:w="1738" w:type="dxa"/>
            <w:vAlign w:val="top"/>
          </w:tcPr>
          <w:p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D-报告设计思路不合理，内容组织混乱、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撰写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质量差、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描述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问题不清楚和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理解问题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不正确。</w:t>
            </w:r>
          </w:p>
        </w:tc>
        <w:tc>
          <w:tcPr>
            <w:tcW w:w="1701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C-报告设计思路基本合理，内容组织基本满足要求、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撰写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质量一般、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描述问题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基本清楚和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理解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问题基本正确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B-报告设计思路合理，内容组织满足要求、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撰写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制作质量较好、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问题描述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基本清楚和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理解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问题基本正确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A-报告设计思路很有说服力，内容组织逻辑严密、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撰写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制作质量好、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描述问题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清楚和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val="en-US" w:eastAsia="zh-CN"/>
              </w:rPr>
              <w:t>理解</w:t>
            </w:r>
            <w:r>
              <w:rPr>
                <w:rStyle w:val="9"/>
                <w:rFonts w:ascii="宋体" w:hAnsi="宋体" w:eastAsia="宋体" w:cs="宋体"/>
                <w:b w:val="0"/>
                <w:sz w:val="21"/>
                <w:szCs w:val="21"/>
              </w:rPr>
              <w:t>问题正确</w:t>
            </w:r>
            <w:r>
              <w:rPr>
                <w:rStyle w:val="9"/>
                <w:rFonts w:hint="eastAsia" w:ascii="宋体" w:hAnsi="宋体" w:cs="宋体"/>
                <w:b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300" w:lineRule="auto"/>
        <w:rPr>
          <w:rFonts w:hint="eastAsia" w:eastAsia="黑体"/>
          <w:sz w:val="28"/>
          <w:szCs w:val="28"/>
        </w:rPr>
      </w:pPr>
      <w:bookmarkStart w:id="7" w:name="_GoBack"/>
      <w:bookmarkEnd w:id="7"/>
      <w:bookmarkStart w:id="6" w:name="_引言"/>
      <w:bookmarkEnd w:id="6"/>
    </w:p>
    <w:p>
      <w:pPr>
        <w:spacing w:line="30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五、教材与参考资料</w:t>
      </w: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（正文为宋体小四号字。正式出版教材要求注明教材名称、作者姓名、出版社、是否自编教材；自编教材要求注明是否成册、编写者姓名、编写者职称、字数等。</w:t>
      </w:r>
    </w:p>
    <w:p>
      <w:pPr>
        <w:spacing w:line="300" w:lineRule="auto"/>
        <w:rPr>
          <w:rFonts w:eastAsia="黑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eastAsia="黑体"/>
          <w:sz w:val="24"/>
          <w:szCs w:val="24"/>
        </w:rPr>
        <w:t>（一）教材</w:t>
      </w:r>
    </w:p>
    <w:p>
      <w:pPr>
        <w:spacing w:line="30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无</w:t>
      </w:r>
      <w:r>
        <w:rPr>
          <w:rFonts w:asciiTheme="minorEastAsia" w:hAnsiTheme="minorEastAsia" w:eastAsiaTheme="minorEastAsia"/>
          <w:sz w:val="24"/>
          <w:szCs w:val="24"/>
        </w:rPr>
        <w:t>。</w:t>
      </w:r>
    </w:p>
    <w:p>
      <w:pPr>
        <w:spacing w:line="30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4"/>
          <w:szCs w:val="24"/>
        </w:rPr>
        <w:t xml:space="preserve">  （二）主要参考资料：</w:t>
      </w: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1.</w:t>
      </w:r>
      <w:r>
        <w:rPr>
          <w:rFonts w:hint="eastAsia"/>
          <w:sz w:val="24"/>
        </w:rPr>
        <w:t>John Wiley 和ACS Journals等数据库相关</w:t>
      </w:r>
      <w:r>
        <w:rPr>
          <w:rFonts w:hint="eastAsia"/>
          <w:sz w:val="24"/>
          <w:lang w:val="en-US" w:eastAsia="zh-CN"/>
        </w:rPr>
        <w:t>综述性</w:t>
      </w:r>
      <w:r>
        <w:rPr>
          <w:rFonts w:hint="eastAsia"/>
          <w:sz w:val="24"/>
        </w:rPr>
        <w:t>文献。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2.</w:t>
      </w:r>
      <w:r>
        <w:rPr>
          <w:rFonts w:hint="eastAsia"/>
          <w:sz w:val="24"/>
        </w:rPr>
        <w:t>万方数据库相关文献。</w:t>
      </w:r>
    </w:p>
    <w:p>
      <w:pPr>
        <w:spacing w:line="30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六、其它说明</w:t>
      </w:r>
    </w:p>
    <w:p>
      <w:pPr>
        <w:pStyle w:val="14"/>
        <w:spacing w:before="0" w:beforeAutospacing="0" w:after="0" w:afterAutospacing="0" w:line="30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大纲执笔人：  </w:t>
      </w:r>
      <w:r>
        <w:rPr>
          <w:rFonts w:hint="eastAsia" w:ascii="黑体" w:hAnsi="黑体" w:eastAsia="黑体"/>
          <w:lang w:val="en-US" w:eastAsia="zh-CN"/>
        </w:rPr>
        <w:t>李希友</w:t>
      </w:r>
      <w:r>
        <w:rPr>
          <w:rFonts w:hint="eastAsia" w:ascii="黑体" w:hAnsi="黑体" w:eastAsia="黑体"/>
        </w:rPr>
        <w:t xml:space="preserve">               审核人（学位点负责人）：</w:t>
      </w:r>
    </w:p>
    <w:p>
      <w:pPr>
        <w:pStyle w:val="14"/>
        <w:spacing w:before="0" w:beforeAutospacing="0" w:after="0" w:afterAutospacing="0" w:line="300" w:lineRule="auto"/>
        <w:jc w:val="both"/>
        <w:rPr>
          <w:rFonts w:hint="eastAsia" w:ascii="inherit" w:hAnsi="inherit"/>
          <w:sz w:val="23"/>
          <w:szCs w:val="23"/>
        </w:rPr>
      </w:pPr>
      <w:r>
        <w:rPr>
          <w:rFonts w:ascii="Calibri" w:hAnsi="Calibri" w:eastAsia="黑体" w:cs="Calibri"/>
        </w:rPr>
        <w:t xml:space="preserve">                     </w:t>
      </w:r>
    </w:p>
    <w:p>
      <w:pPr>
        <w:pStyle w:val="14"/>
        <w:spacing w:before="0" w:beforeAutospacing="0" w:after="0" w:afterAutospacing="0" w:line="300" w:lineRule="auto"/>
        <w:ind w:firstLine="600" w:firstLineChars="250"/>
        <w:jc w:val="both"/>
        <w:rPr>
          <w:rFonts w:hint="eastAsia" w:ascii="inherit" w:hAnsi="inherit"/>
          <w:sz w:val="23"/>
          <w:szCs w:val="23"/>
        </w:rPr>
      </w:pPr>
      <w:r>
        <w:rPr>
          <w:rFonts w:hint="eastAsia" w:ascii="Calibri" w:hAnsi="Calibri" w:eastAsia="黑体" w:cs="Calibri"/>
        </w:rPr>
        <w:t xml:space="preserve">  </w:t>
      </w:r>
      <w:r>
        <w:rPr>
          <w:rFonts w:ascii="Calibri" w:hAnsi="Calibri" w:eastAsia="黑体" w:cs="Calibri"/>
        </w:rPr>
        <w:t xml:space="preserve">                       分管院长</w:t>
      </w:r>
      <w:r>
        <w:rPr>
          <w:rFonts w:hint="eastAsia" w:ascii="黑体" w:hAnsi="黑体" w:eastAsia="黑体"/>
        </w:rPr>
        <w:t>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dvGulliv-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dvPS_TTB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65f8a23b . 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46dcae81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SCASF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SCASFBD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SCAS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B33BC7"/>
    <w:multiLevelType w:val="singleLevel"/>
    <w:tmpl w:val="D6B33BC7"/>
    <w:lvl w:ilvl="0" w:tentative="0">
      <w:start w:val="3"/>
      <w:numFmt w:val="decimal"/>
      <w:suff w:val="space"/>
      <w:lvlText w:val="第%1章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hNTFkMmU1YTdlYThlZGIwZjhmZTAzNGNhMDFhZDAifQ=="/>
  </w:docVars>
  <w:rsids>
    <w:rsidRoot w:val="00576454"/>
    <w:rsid w:val="000041B9"/>
    <w:rsid w:val="0001107E"/>
    <w:rsid w:val="000643E0"/>
    <w:rsid w:val="00090489"/>
    <w:rsid w:val="00093D1A"/>
    <w:rsid w:val="00094CC5"/>
    <w:rsid w:val="000B143C"/>
    <w:rsid w:val="001915DF"/>
    <w:rsid w:val="00240802"/>
    <w:rsid w:val="00241F4E"/>
    <w:rsid w:val="002E7D7D"/>
    <w:rsid w:val="002F75BF"/>
    <w:rsid w:val="00323AF7"/>
    <w:rsid w:val="00354536"/>
    <w:rsid w:val="0039639C"/>
    <w:rsid w:val="003C6961"/>
    <w:rsid w:val="003D66E7"/>
    <w:rsid w:val="0040341E"/>
    <w:rsid w:val="004B3200"/>
    <w:rsid w:val="004B4AA1"/>
    <w:rsid w:val="004E51F2"/>
    <w:rsid w:val="00543371"/>
    <w:rsid w:val="00554B56"/>
    <w:rsid w:val="00576454"/>
    <w:rsid w:val="005B64AD"/>
    <w:rsid w:val="00606F64"/>
    <w:rsid w:val="00607B06"/>
    <w:rsid w:val="0063419D"/>
    <w:rsid w:val="00650913"/>
    <w:rsid w:val="007D4786"/>
    <w:rsid w:val="007E0789"/>
    <w:rsid w:val="00805168"/>
    <w:rsid w:val="00830930"/>
    <w:rsid w:val="00837079"/>
    <w:rsid w:val="0085241C"/>
    <w:rsid w:val="00856BA3"/>
    <w:rsid w:val="00865618"/>
    <w:rsid w:val="008972CB"/>
    <w:rsid w:val="00960CA0"/>
    <w:rsid w:val="009906F4"/>
    <w:rsid w:val="009C5397"/>
    <w:rsid w:val="00A15452"/>
    <w:rsid w:val="00A23081"/>
    <w:rsid w:val="00A6174B"/>
    <w:rsid w:val="00B942FA"/>
    <w:rsid w:val="00C23DA2"/>
    <w:rsid w:val="00C63F15"/>
    <w:rsid w:val="00E034C9"/>
    <w:rsid w:val="00E253F4"/>
    <w:rsid w:val="00E26ED4"/>
    <w:rsid w:val="00E34506"/>
    <w:rsid w:val="00E52144"/>
    <w:rsid w:val="00E651A8"/>
    <w:rsid w:val="00E735AD"/>
    <w:rsid w:val="00E73C4E"/>
    <w:rsid w:val="00ED4FF0"/>
    <w:rsid w:val="00F36487"/>
    <w:rsid w:val="00FA699B"/>
    <w:rsid w:val="00FE366A"/>
    <w:rsid w:val="00FF47AB"/>
    <w:rsid w:val="05DE741B"/>
    <w:rsid w:val="0701218C"/>
    <w:rsid w:val="0F8E7615"/>
    <w:rsid w:val="15832163"/>
    <w:rsid w:val="1E74773B"/>
    <w:rsid w:val="26754863"/>
    <w:rsid w:val="2A454D63"/>
    <w:rsid w:val="4C093632"/>
    <w:rsid w:val="4D48449F"/>
    <w:rsid w:val="50683793"/>
    <w:rsid w:val="620B4DE2"/>
    <w:rsid w:val="6A7B2288"/>
    <w:rsid w:val="6DB36A59"/>
    <w:rsid w:val="74291F95"/>
    <w:rsid w:val="7E5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3">
    <w:name w:val="Balloon Text"/>
    <w:basedOn w:val="1"/>
    <w:link w:val="1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纯文本 字符"/>
    <w:basedOn w:val="9"/>
    <w:link w:val="2"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4">
    <w:name w:val="p0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15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Normal_3"/>
    <w:qFormat/>
    <w:uiPriority w:val="0"/>
    <w:pPr>
      <w:widowControl w:val="0"/>
      <w:spacing w:line="336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2503</Words>
  <Characters>2698</Characters>
  <Lines>15</Lines>
  <Paragraphs>4</Paragraphs>
  <TotalTime>3</TotalTime>
  <ScaleCrop>false</ScaleCrop>
  <LinksUpToDate>false</LinksUpToDate>
  <CharactersWithSpaces>2838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2018-06-25T07:44:00Z</dcterms:created>
  <dc:creator>zadmin</dc:creator>
  <cp:lastModifiedBy>陈艳丽</cp:lastModifiedBy>
  <cp:lastPrinted>2018-06-27T07:57:00Z</cp:lastPrinted>
  <dcterms:modified xsi:type="dcterms:W3CDTF">2022-07-14T14:33:41Z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CE3BA1BC4B2F4CE7BF0C5B3542A43945</vt:lpwstr>
  </property>
</Properties>
</file>