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12" w:lineRule="auto"/>
        <w:jc w:val="center"/>
        <w:rPr>
          <w:rFonts w:ascii="黑体" w:hAnsi="黑体" w:eastAsia="黑体"/>
          <w:sz w:val="36"/>
          <w:szCs w:val="36"/>
        </w:rPr>
      </w:pPr>
      <w:r>
        <w:rPr>
          <w:rFonts w:ascii="宋体" w:hAnsi="宋体" w:cs="宋体"/>
          <w:sz w:val="36"/>
          <w:szCs w:val="36"/>
        </w:rPr>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09750" cy="447675"/>
            <wp:effectExtent l="0" t="0" r="0" b="9525"/>
            <wp:wrapTopAndBottom/>
            <wp:docPr id="1"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09750" cy="447675"/>
                    </a:xfrm>
                    <a:prstGeom prst="rect">
                      <a:avLst/>
                    </a:prstGeom>
                    <a:noFill/>
                    <a:ln>
                      <a:noFill/>
                    </a:ln>
                  </pic:spPr>
                </pic:pic>
              </a:graphicData>
            </a:graphic>
          </wp:anchor>
        </w:drawing>
      </w:r>
      <w:r>
        <w:rPr>
          <w:rFonts w:hint="eastAsia" w:ascii="黑体" w:hAnsi="黑体" w:eastAsia="黑体"/>
          <w:sz w:val="36"/>
          <w:szCs w:val="36"/>
        </w:rPr>
        <w:t>研究生课程教学大纲（模板）</w:t>
      </w:r>
    </w:p>
    <w:tbl>
      <w:tblPr>
        <w:tblStyle w:val="8"/>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1417"/>
        <w:gridCol w:w="1781"/>
        <w:gridCol w:w="346"/>
        <w:gridCol w:w="155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Borders>
              <w:top w:val="single" w:color="D9D9D9" w:sz="4" w:space="0"/>
              <w:left w:val="single" w:color="D9D9D9" w:sz="4" w:space="0"/>
              <w:bottom w:val="single" w:color="D9D9D9" w:sz="4" w:space="0"/>
              <w:right w:val="single" w:color="D9D9D9" w:sz="4" w:space="0"/>
            </w:tcBorders>
            <w:vAlign w:val="center"/>
          </w:tcPr>
          <w:p>
            <w:pPr>
              <w:spacing w:line="312" w:lineRule="auto"/>
              <w:ind w:right="320"/>
              <w:jc w:val="center"/>
              <w:rPr>
                <w:rFonts w:ascii="黑体" w:hAnsi="黑体" w:eastAsia="黑体"/>
                <w:sz w:val="30"/>
                <w:szCs w:val="30"/>
              </w:rPr>
            </w:pPr>
            <w:r>
              <w:rPr>
                <w:rFonts w:hint="eastAsia" w:ascii="黑体" w:hAnsi="黑体" w:eastAsia="黑体"/>
                <w:spacing w:val="56"/>
                <w:kern w:val="0"/>
                <w:sz w:val="30"/>
                <w:szCs w:val="30"/>
                <w:fitText w:val="1950" w:id="2074232832"/>
              </w:rPr>
              <w:t>课程名称</w:t>
            </w:r>
            <w:r>
              <w:rPr>
                <w:rFonts w:hint="eastAsia" w:ascii="黑体" w:hAnsi="黑体" w:eastAsia="黑体"/>
                <w:spacing w:val="1"/>
                <w:kern w:val="0"/>
                <w:sz w:val="30"/>
                <w:szCs w:val="30"/>
                <w:fitText w:val="1950" w:id="2074232832"/>
              </w:rPr>
              <w:t>：</w:t>
            </w:r>
          </w:p>
        </w:tc>
        <w:tc>
          <w:tcPr>
            <w:tcW w:w="6520" w:type="dxa"/>
            <w:gridSpan w:val="5"/>
            <w:tcBorders>
              <w:top w:val="single" w:color="D9D9D9" w:sz="4" w:space="0"/>
              <w:left w:val="single" w:color="D9D9D9" w:sz="4" w:space="0"/>
              <w:bottom w:val="single" w:color="D9D9D9" w:sz="4" w:space="0"/>
              <w:right w:val="single" w:color="D9D9D9" w:sz="4" w:space="0"/>
            </w:tcBorders>
          </w:tcPr>
          <w:p>
            <w:pPr>
              <w:spacing w:line="312" w:lineRule="auto"/>
              <w:jc w:val="center"/>
              <w:rPr>
                <w:rFonts w:ascii="黑体" w:hAnsi="黑体" w:eastAsia="黑体"/>
                <w:sz w:val="30"/>
                <w:szCs w:val="30"/>
              </w:rPr>
            </w:pPr>
            <w:r>
              <w:rPr>
                <w:rFonts w:hint="eastAsia" w:ascii="黑体" w:hAnsi="黑体" w:eastAsia="黑体"/>
                <w:sz w:val="30"/>
                <w:szCs w:val="30"/>
              </w:rPr>
              <w:t>实验室安全管理规范与培训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269" w:type="dxa"/>
            <w:tcBorders>
              <w:top w:val="single" w:color="D9D9D9" w:sz="4" w:space="0"/>
              <w:left w:val="single" w:color="D9D9D9" w:sz="4" w:space="0"/>
              <w:bottom w:val="single" w:color="D9D9D9" w:sz="4" w:space="0"/>
              <w:right w:val="single" w:color="D9D9D9" w:sz="4" w:space="0"/>
            </w:tcBorders>
            <w:vAlign w:val="center"/>
          </w:tcPr>
          <w:p>
            <w:pPr>
              <w:spacing w:line="312" w:lineRule="auto"/>
              <w:ind w:right="320"/>
              <w:jc w:val="center"/>
              <w:rPr>
                <w:rFonts w:ascii="黑体" w:hAnsi="黑体" w:eastAsia="黑体"/>
                <w:sz w:val="30"/>
                <w:szCs w:val="30"/>
              </w:rPr>
            </w:pPr>
          </w:p>
        </w:tc>
        <w:tc>
          <w:tcPr>
            <w:tcW w:w="6520" w:type="dxa"/>
            <w:gridSpan w:val="5"/>
            <w:tcBorders>
              <w:top w:val="single" w:color="D9D9D9" w:sz="4" w:space="0"/>
              <w:left w:val="single" w:color="D9D9D9" w:sz="4" w:space="0"/>
              <w:bottom w:val="single" w:color="D9D9D9" w:sz="4" w:space="0"/>
              <w:right w:val="single" w:color="D9D9D9" w:sz="4" w:space="0"/>
            </w:tcBorders>
          </w:tcPr>
          <w:p>
            <w:pPr>
              <w:spacing w:line="312" w:lineRule="auto"/>
              <w:jc w:val="center"/>
              <w:rPr>
                <w:rFonts w:hint="default" w:ascii="黑体" w:hAnsi="黑体" w:eastAsia="黑体"/>
                <w:sz w:val="30"/>
                <w:szCs w:val="30"/>
                <w:lang w:val="en-US" w:eastAsia="zh-CN"/>
              </w:rPr>
            </w:pPr>
            <w:r>
              <w:rPr>
                <w:rFonts w:hint="default" w:ascii="Times New Roman" w:hAnsi="Times New Roman" w:eastAsia="黑体" w:cs="Times New Roman"/>
                <w:sz w:val="28"/>
                <w:szCs w:val="28"/>
              </w:rPr>
              <w:t xml:space="preserve">Specification and </w:t>
            </w:r>
            <w:r>
              <w:rPr>
                <w:rFonts w:hint="eastAsia" w:eastAsia="黑体" w:cs="Times New Roman"/>
                <w:sz w:val="28"/>
                <w:szCs w:val="28"/>
                <w:lang w:val="en-US" w:eastAsia="zh-CN"/>
              </w:rPr>
              <w:t>T</w:t>
            </w:r>
            <w:r>
              <w:rPr>
                <w:rFonts w:hint="default" w:ascii="Times New Roman" w:hAnsi="Times New Roman" w:eastAsia="黑体" w:cs="Times New Roman"/>
                <w:sz w:val="28"/>
                <w:szCs w:val="28"/>
              </w:rPr>
              <w:t>raining</w:t>
            </w:r>
            <w:r>
              <w:rPr>
                <w:rFonts w:hint="default" w:ascii="Times New Roman" w:hAnsi="Times New Roman" w:eastAsia="黑体" w:cs="Times New Roman"/>
                <w:sz w:val="28"/>
                <w:szCs w:val="28"/>
                <w:lang w:val="en-US" w:eastAsia="zh-CN"/>
              </w:rPr>
              <w:t xml:space="preserve"> for Laboratory </w:t>
            </w:r>
            <w:r>
              <w:rPr>
                <w:rFonts w:hint="eastAsia" w:eastAsia="黑体" w:cs="Times New Roman"/>
                <w:sz w:val="28"/>
                <w:szCs w:val="28"/>
                <w:lang w:val="en-US" w:eastAsia="zh-CN"/>
              </w:rPr>
              <w:t>S</w:t>
            </w:r>
            <w:r>
              <w:rPr>
                <w:rFonts w:hint="default" w:ascii="Times New Roman" w:hAnsi="Times New Roman" w:eastAsia="黑体" w:cs="Times New Roman"/>
                <w:sz w:val="28"/>
                <w:szCs w:val="28"/>
                <w:lang w:val="en-US" w:eastAsia="zh-CN"/>
              </w:rPr>
              <w:t xml:space="preserve">afety </w:t>
            </w:r>
            <w:r>
              <w:rPr>
                <w:rFonts w:hint="eastAsia" w:eastAsia="黑体" w:cs="Times New Roman"/>
                <w:sz w:val="28"/>
                <w:szCs w:val="28"/>
                <w:lang w:val="en-US" w:eastAsia="zh-CN"/>
              </w:rPr>
              <w:t>M</w:t>
            </w:r>
            <w:r>
              <w:rPr>
                <w:rFonts w:hint="default" w:ascii="Times New Roman" w:hAnsi="Times New Roman" w:eastAsia="黑体" w:cs="Times New Roman"/>
                <w:sz w:val="28"/>
                <w:szCs w:val="28"/>
                <w:lang w:val="en-US" w:eastAsia="zh-CN"/>
              </w:rPr>
              <w:t>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269" w:type="dxa"/>
            <w:tcBorders>
              <w:top w:val="single" w:color="D9D9D9" w:sz="4" w:space="0"/>
              <w:left w:val="single" w:color="D9D9D9" w:sz="4" w:space="0"/>
              <w:bottom w:val="single" w:color="D9D9D9" w:sz="4" w:space="0"/>
              <w:right w:val="single" w:color="D9D9D9" w:sz="4" w:space="0"/>
            </w:tcBorders>
            <w:vAlign w:val="center"/>
          </w:tcPr>
          <w:p>
            <w:pPr>
              <w:spacing w:line="312" w:lineRule="auto"/>
              <w:ind w:right="320"/>
              <w:jc w:val="center"/>
              <w:rPr>
                <w:rFonts w:ascii="黑体" w:hAnsi="黑体" w:eastAsia="黑体"/>
                <w:sz w:val="30"/>
                <w:szCs w:val="30"/>
              </w:rPr>
            </w:pPr>
            <w:r>
              <w:rPr>
                <w:rFonts w:hint="eastAsia" w:ascii="黑体" w:hAnsi="黑体" w:eastAsia="黑体"/>
                <w:spacing w:val="56"/>
                <w:kern w:val="0"/>
                <w:sz w:val="30"/>
                <w:szCs w:val="30"/>
                <w:fitText w:val="1950" w:id="2074232832"/>
              </w:rPr>
              <w:t>课程编号</w:t>
            </w:r>
            <w:r>
              <w:rPr>
                <w:rFonts w:hint="eastAsia" w:ascii="黑体" w:hAnsi="黑体" w:eastAsia="黑体"/>
                <w:spacing w:val="1"/>
                <w:kern w:val="0"/>
                <w:sz w:val="30"/>
                <w:szCs w:val="30"/>
                <w:fitText w:val="1950" w:id="2074232832"/>
              </w:rPr>
              <w:t>：</w:t>
            </w:r>
          </w:p>
        </w:tc>
        <w:tc>
          <w:tcPr>
            <w:tcW w:w="6520" w:type="dxa"/>
            <w:gridSpan w:val="5"/>
            <w:tcBorders>
              <w:top w:val="single" w:color="D9D9D9" w:sz="4" w:space="0"/>
              <w:left w:val="single" w:color="D9D9D9" w:sz="4" w:space="0"/>
              <w:bottom w:val="single" w:color="D9D9D9" w:sz="4" w:space="0"/>
              <w:right w:val="single" w:color="D9D9D9" w:sz="4" w:space="0"/>
            </w:tcBorders>
          </w:tcPr>
          <w:p>
            <w:pPr>
              <w:spacing w:line="312" w:lineRule="auto"/>
              <w:jc w:val="center"/>
              <w:rPr>
                <w:rFonts w:ascii="黑体" w:hAnsi="黑体" w:eastAsia="黑体"/>
                <w:sz w:val="30"/>
                <w:szCs w:val="30"/>
              </w:rPr>
            </w:pPr>
            <w:r>
              <w:rPr>
                <w:rFonts w:hint="eastAsia" w:ascii="Times New Roman" w:hAnsi="Times New Roman" w:eastAsia="黑体" w:cs="Times New Roman"/>
                <w:sz w:val="28"/>
                <w:szCs w:val="28"/>
              </w:rPr>
              <w:t>ZX14400M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789" w:type="dxa"/>
            <w:gridSpan w:val="6"/>
            <w:tcBorders>
              <w:top w:val="single" w:color="D9D9D9" w:sz="4" w:space="0"/>
              <w:left w:val="single" w:color="D9D9D9" w:sz="4" w:space="0"/>
              <w:bottom w:val="single" w:color="D9D9D9" w:sz="4" w:space="0"/>
              <w:right w:val="single" w:color="D9D9D9" w:sz="4" w:space="0"/>
            </w:tcBorders>
            <w:vAlign w:val="center"/>
          </w:tcPr>
          <w:p>
            <w:pPr>
              <w:spacing w:line="312" w:lineRule="auto"/>
              <w:jc w:val="center"/>
              <w:rPr>
                <w:rFonts w:ascii="华文中宋" w:hAnsi="华文中宋" w:eastAsia="华文中宋"/>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269" w:type="dxa"/>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eastAsia="黑体"/>
                <w:sz w:val="24"/>
                <w:szCs w:val="24"/>
              </w:rPr>
            </w:pPr>
            <w:r>
              <w:rPr>
                <w:rFonts w:hint="eastAsia" w:eastAsia="黑体"/>
                <w:spacing w:val="13"/>
                <w:kern w:val="0"/>
                <w:sz w:val="24"/>
                <w:szCs w:val="24"/>
                <w:fitText w:val="1755" w:id="2074232321"/>
              </w:rPr>
              <w:t>开 课 单 位</w:t>
            </w:r>
            <w:r>
              <w:rPr>
                <w:rFonts w:hint="eastAsia" w:eastAsia="黑体"/>
                <w:spacing w:val="6"/>
                <w:kern w:val="0"/>
                <w:sz w:val="24"/>
                <w:szCs w:val="24"/>
                <w:fitText w:val="1755" w:id="2074232321"/>
              </w:rPr>
              <w:t>：</w:t>
            </w:r>
          </w:p>
        </w:tc>
        <w:tc>
          <w:tcPr>
            <w:tcW w:w="3198" w:type="dxa"/>
            <w:gridSpan w:val="2"/>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hint="default" w:eastAsia="黑体"/>
                <w:sz w:val="24"/>
                <w:szCs w:val="24"/>
                <w:lang w:val="en-US" w:eastAsia="zh-CN"/>
              </w:rPr>
            </w:pPr>
            <w:r>
              <w:rPr>
                <w:rFonts w:hint="eastAsia" w:eastAsia="黑体"/>
                <w:sz w:val="24"/>
                <w:szCs w:val="24"/>
                <w:lang w:val="en-US" w:eastAsia="zh-CN"/>
              </w:rPr>
              <w:t>材料科学与工程学院</w:t>
            </w:r>
          </w:p>
        </w:tc>
        <w:tc>
          <w:tcPr>
            <w:tcW w:w="1905" w:type="dxa"/>
            <w:gridSpan w:val="2"/>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eastAsia="黑体"/>
                <w:sz w:val="24"/>
                <w:szCs w:val="24"/>
              </w:rPr>
            </w:pPr>
            <w:r>
              <w:rPr>
                <w:rFonts w:hint="eastAsia" w:eastAsia="黑体"/>
                <w:spacing w:val="69"/>
                <w:kern w:val="0"/>
                <w:sz w:val="24"/>
                <w:szCs w:val="24"/>
                <w:fitText w:val="1755" w:id="2074232321"/>
              </w:rPr>
              <w:t>开课学期</w:t>
            </w:r>
            <w:r>
              <w:rPr>
                <w:rFonts w:hint="eastAsia" w:eastAsia="黑体"/>
                <w:spacing w:val="1"/>
                <w:kern w:val="0"/>
                <w:sz w:val="24"/>
                <w:szCs w:val="24"/>
                <w:fitText w:val="1755" w:id="2074232321"/>
              </w:rPr>
              <w:t>：</w:t>
            </w:r>
          </w:p>
        </w:tc>
        <w:tc>
          <w:tcPr>
            <w:tcW w:w="1417" w:type="dxa"/>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hint="default" w:eastAsia="黑体"/>
                <w:sz w:val="24"/>
                <w:szCs w:val="24"/>
                <w:lang w:val="en-US" w:eastAsia="zh-CN"/>
              </w:rPr>
            </w:pPr>
            <w:r>
              <w:rPr>
                <w:rFonts w:hint="eastAsia" w:eastAsia="黑体"/>
                <w:sz w:val="24"/>
                <w:szCs w:val="24"/>
                <w:lang w:val="en-US" w:eastAsia="zh-CN"/>
              </w:rPr>
              <w:t>春秋季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269" w:type="dxa"/>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eastAsia="黑体"/>
                <w:sz w:val="24"/>
                <w:szCs w:val="24"/>
              </w:rPr>
            </w:pPr>
            <w:r>
              <w:rPr>
                <w:rFonts w:hint="eastAsia" w:eastAsia="黑体"/>
                <w:spacing w:val="13"/>
                <w:kern w:val="0"/>
                <w:sz w:val="24"/>
                <w:szCs w:val="24"/>
                <w:fitText w:val="1755" w:id="2074232321"/>
              </w:rPr>
              <w:t>课 内 学 时</w:t>
            </w:r>
            <w:r>
              <w:rPr>
                <w:rFonts w:hint="eastAsia" w:eastAsia="黑体"/>
                <w:spacing w:val="6"/>
                <w:kern w:val="0"/>
                <w:sz w:val="24"/>
                <w:szCs w:val="24"/>
                <w:fitText w:val="1755" w:id="2074232321"/>
              </w:rPr>
              <w:t>：</w:t>
            </w:r>
          </w:p>
        </w:tc>
        <w:tc>
          <w:tcPr>
            <w:tcW w:w="3198" w:type="dxa"/>
            <w:gridSpan w:val="2"/>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hint="default" w:eastAsia="黑体"/>
                <w:sz w:val="24"/>
                <w:szCs w:val="24"/>
                <w:lang w:val="en-US" w:eastAsia="zh-CN"/>
              </w:rPr>
            </w:pPr>
            <w:r>
              <w:rPr>
                <w:rFonts w:hint="eastAsia" w:eastAsia="黑体"/>
                <w:sz w:val="24"/>
                <w:szCs w:val="24"/>
                <w:lang w:val="en-US" w:eastAsia="zh-CN"/>
              </w:rPr>
              <w:t>32</w:t>
            </w:r>
          </w:p>
        </w:tc>
        <w:tc>
          <w:tcPr>
            <w:tcW w:w="1905" w:type="dxa"/>
            <w:gridSpan w:val="2"/>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eastAsia="黑体"/>
                <w:spacing w:val="14"/>
                <w:sz w:val="24"/>
                <w:szCs w:val="24"/>
              </w:rPr>
            </w:pPr>
            <w:r>
              <w:rPr>
                <w:rFonts w:hint="eastAsia" w:eastAsia="黑体"/>
                <w:spacing w:val="46"/>
                <w:kern w:val="0"/>
                <w:sz w:val="24"/>
                <w:szCs w:val="24"/>
                <w:fitText w:val="1755" w:id="2074232321"/>
              </w:rPr>
              <w:t>学    分</w:t>
            </w:r>
            <w:r>
              <w:rPr>
                <w:rFonts w:hint="eastAsia" w:eastAsia="黑体"/>
                <w:spacing w:val="1"/>
                <w:kern w:val="0"/>
                <w:sz w:val="24"/>
                <w:szCs w:val="24"/>
                <w:fitText w:val="1755" w:id="2074232321"/>
              </w:rPr>
              <w:t>：</w:t>
            </w:r>
          </w:p>
        </w:tc>
        <w:tc>
          <w:tcPr>
            <w:tcW w:w="1417" w:type="dxa"/>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hint="eastAsia" w:eastAsia="黑体"/>
                <w:sz w:val="24"/>
                <w:szCs w:val="24"/>
                <w:lang w:val="en-US" w:eastAsia="zh-CN"/>
              </w:rPr>
            </w:pPr>
            <w:r>
              <w:rPr>
                <w:rFonts w:hint="eastAsia" w:eastAsia="黑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269" w:type="dxa"/>
            <w:tcBorders>
              <w:top w:val="single" w:color="D9D9D9" w:sz="4" w:space="0"/>
              <w:left w:val="single" w:color="D9D9D9" w:sz="4" w:space="0"/>
              <w:bottom w:val="single" w:color="D9D9D9" w:sz="4" w:space="0"/>
              <w:right w:val="single" w:color="D9D9D9" w:sz="4" w:space="0"/>
            </w:tcBorders>
            <w:vAlign w:val="center"/>
          </w:tcPr>
          <w:p>
            <w:pPr>
              <w:spacing w:line="360" w:lineRule="auto"/>
              <w:jc w:val="left"/>
              <w:rPr>
                <w:rFonts w:eastAsia="黑体"/>
                <w:sz w:val="24"/>
                <w:szCs w:val="24"/>
              </w:rPr>
            </w:pPr>
            <w:r>
              <w:rPr>
                <w:rFonts w:hint="eastAsia" w:eastAsia="黑体"/>
                <w:spacing w:val="30"/>
                <w:kern w:val="0"/>
                <w:sz w:val="24"/>
                <w:szCs w:val="24"/>
                <w:fitText w:val="1680" w:id="2078977792"/>
              </w:rPr>
              <w:t xml:space="preserve">适 用 学 </w:t>
            </w:r>
            <w:r>
              <w:rPr>
                <w:rFonts w:hint="eastAsia" w:eastAsia="黑体"/>
                <w:spacing w:val="0"/>
                <w:kern w:val="0"/>
                <w:sz w:val="24"/>
                <w:szCs w:val="24"/>
                <w:fitText w:val="1680" w:id="2078977792"/>
              </w:rPr>
              <w:t>科</w:t>
            </w:r>
            <w:r>
              <w:rPr>
                <w:rFonts w:hint="eastAsia" w:eastAsia="黑体"/>
                <w:sz w:val="24"/>
                <w:szCs w:val="24"/>
              </w:rPr>
              <w:t xml:space="preserve"> </w:t>
            </w:r>
          </w:p>
          <w:p>
            <w:pPr>
              <w:spacing w:line="360" w:lineRule="auto"/>
              <w:jc w:val="center"/>
              <w:rPr>
                <w:rFonts w:eastAsia="黑体"/>
                <w:sz w:val="24"/>
                <w:szCs w:val="24"/>
              </w:rPr>
            </w:pPr>
            <w:r>
              <w:rPr>
                <w:rFonts w:hint="eastAsia" w:eastAsia="黑体"/>
                <w:spacing w:val="31"/>
                <w:kern w:val="0"/>
                <w:sz w:val="24"/>
                <w:szCs w:val="24"/>
                <w:fitText w:val="1755" w:id="2074232321"/>
              </w:rPr>
              <w:t>专业及层次</w:t>
            </w:r>
            <w:r>
              <w:rPr>
                <w:rFonts w:hint="eastAsia" w:eastAsia="黑体"/>
                <w:spacing w:val="2"/>
                <w:kern w:val="0"/>
                <w:sz w:val="24"/>
                <w:szCs w:val="24"/>
                <w:fitText w:val="1755" w:id="2074232321"/>
              </w:rPr>
              <w:t>：</w:t>
            </w:r>
          </w:p>
        </w:tc>
        <w:tc>
          <w:tcPr>
            <w:tcW w:w="6520" w:type="dxa"/>
            <w:gridSpan w:val="5"/>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eastAsia="黑体"/>
                <w:sz w:val="24"/>
                <w:szCs w:val="24"/>
              </w:rPr>
            </w:pPr>
            <w:r>
              <w:rPr>
                <w:rFonts w:hint="eastAsia" w:eastAsia="黑体"/>
                <w:sz w:val="24"/>
                <w:szCs w:val="24"/>
              </w:rPr>
              <w:t>学术学位硕士生</w:t>
            </w:r>
            <w:r>
              <w:rPr>
                <w:rFonts w:hint="eastAsia" w:eastAsia="黑体"/>
                <w:sz w:val="24"/>
                <w:szCs w:val="24"/>
                <w:lang w:eastAsia="zh-CN"/>
              </w:rPr>
              <w:t>、</w:t>
            </w:r>
            <w:r>
              <w:rPr>
                <w:rFonts w:hint="eastAsia" w:eastAsia="黑体"/>
                <w:sz w:val="24"/>
                <w:szCs w:val="24"/>
              </w:rPr>
              <w:t>专业学位硕士生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eastAsia="黑体"/>
                <w:sz w:val="24"/>
                <w:szCs w:val="24"/>
              </w:rPr>
            </w:pPr>
            <w:r>
              <w:rPr>
                <w:rFonts w:hint="eastAsia" w:eastAsia="黑体"/>
                <w:spacing w:val="69"/>
                <w:kern w:val="0"/>
                <w:sz w:val="24"/>
                <w:szCs w:val="24"/>
                <w:fitText w:val="1755" w:id="2074232321"/>
              </w:rPr>
              <w:t>授课语言</w:t>
            </w:r>
            <w:r>
              <w:rPr>
                <w:rFonts w:hint="eastAsia" w:eastAsia="黑体"/>
                <w:spacing w:val="1"/>
                <w:kern w:val="0"/>
                <w:sz w:val="24"/>
                <w:szCs w:val="24"/>
                <w:fitText w:val="1755" w:id="2074232321"/>
              </w:rPr>
              <w:t>：</w:t>
            </w:r>
          </w:p>
        </w:tc>
        <w:tc>
          <w:tcPr>
            <w:tcW w:w="6520" w:type="dxa"/>
            <w:gridSpan w:val="5"/>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hint="eastAsia" w:eastAsia="黑体"/>
                <w:sz w:val="24"/>
                <w:szCs w:val="24"/>
                <w:lang w:eastAsia="zh-CN"/>
              </w:rPr>
            </w:pPr>
            <w:r>
              <w:rPr>
                <w:rFonts w:hint="eastAsia" w:eastAsia="黑体"/>
                <w:sz w:val="24"/>
                <w:szCs w:val="24"/>
                <w:lang w:val="en-US"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eastAsia="黑体"/>
                <w:sz w:val="24"/>
                <w:szCs w:val="24"/>
              </w:rPr>
            </w:pPr>
            <w:r>
              <w:rPr>
                <w:rFonts w:hint="eastAsia" w:eastAsia="黑体"/>
                <w:spacing w:val="69"/>
                <w:kern w:val="0"/>
                <w:sz w:val="24"/>
                <w:szCs w:val="24"/>
                <w:fitText w:val="1755" w:id="2074232321"/>
              </w:rPr>
              <w:t>先修课程</w:t>
            </w:r>
            <w:r>
              <w:rPr>
                <w:rFonts w:hint="eastAsia" w:eastAsia="黑体"/>
                <w:spacing w:val="1"/>
                <w:kern w:val="0"/>
                <w:sz w:val="24"/>
                <w:szCs w:val="24"/>
                <w:fitText w:val="1755" w:id="2074232321"/>
              </w:rPr>
              <w:t>：</w:t>
            </w:r>
          </w:p>
        </w:tc>
        <w:tc>
          <w:tcPr>
            <w:tcW w:w="6520" w:type="dxa"/>
            <w:gridSpan w:val="5"/>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hint="eastAsia" w:eastAsia="黑体"/>
                <w:sz w:val="24"/>
                <w:szCs w:val="24"/>
                <w:lang w:val="en-US" w:eastAsia="zh-CN"/>
              </w:rPr>
            </w:pPr>
            <w:r>
              <w:rPr>
                <w:rFonts w:hint="eastAsia" w:eastAsia="黑体"/>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eastAsia="黑体"/>
                <w:sz w:val="24"/>
                <w:szCs w:val="24"/>
              </w:rPr>
            </w:pPr>
            <w:r>
              <w:rPr>
                <w:rFonts w:hint="eastAsia" w:eastAsia="黑体"/>
                <w:spacing w:val="132"/>
                <w:kern w:val="0"/>
                <w:sz w:val="24"/>
                <w:szCs w:val="24"/>
                <w:fitText w:val="1755" w:id="2074232321"/>
              </w:rPr>
              <w:t>负责人</w:t>
            </w:r>
            <w:r>
              <w:rPr>
                <w:rFonts w:hint="eastAsia" w:eastAsia="黑体"/>
                <w:spacing w:val="1"/>
                <w:kern w:val="0"/>
                <w:sz w:val="24"/>
                <w:szCs w:val="24"/>
                <w:fitText w:val="1755" w:id="2074232321"/>
              </w:rPr>
              <w:t>：</w:t>
            </w:r>
          </w:p>
        </w:tc>
        <w:tc>
          <w:tcPr>
            <w:tcW w:w="1417" w:type="dxa"/>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hint="eastAsia" w:eastAsia="黑体"/>
                <w:sz w:val="24"/>
                <w:szCs w:val="24"/>
                <w:lang w:val="en-US" w:eastAsia="zh-CN"/>
              </w:rPr>
            </w:pPr>
            <w:r>
              <w:rPr>
                <w:rFonts w:hint="eastAsia" w:eastAsia="黑体"/>
                <w:sz w:val="24"/>
                <w:szCs w:val="24"/>
                <w:lang w:val="en-US" w:eastAsia="zh-CN"/>
              </w:rPr>
              <w:t>戴昉纳</w:t>
            </w:r>
          </w:p>
        </w:tc>
        <w:tc>
          <w:tcPr>
            <w:tcW w:w="2127" w:type="dxa"/>
            <w:gridSpan w:val="2"/>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eastAsia="黑体"/>
                <w:sz w:val="24"/>
                <w:szCs w:val="24"/>
              </w:rPr>
            </w:pPr>
            <w:r>
              <w:rPr>
                <w:rFonts w:hint="eastAsia" w:eastAsia="黑体"/>
                <w:spacing w:val="69"/>
                <w:kern w:val="0"/>
                <w:sz w:val="24"/>
                <w:szCs w:val="24"/>
                <w:fitText w:val="1755" w:id="2074232321"/>
              </w:rPr>
              <w:t>团队成员</w:t>
            </w:r>
            <w:r>
              <w:rPr>
                <w:rFonts w:hint="eastAsia" w:eastAsia="黑体"/>
                <w:spacing w:val="1"/>
                <w:kern w:val="0"/>
                <w:sz w:val="24"/>
                <w:szCs w:val="24"/>
                <w:fitText w:val="1755" w:id="2074232321"/>
              </w:rPr>
              <w:t>：</w:t>
            </w:r>
          </w:p>
        </w:tc>
        <w:tc>
          <w:tcPr>
            <w:tcW w:w="2976" w:type="dxa"/>
            <w:gridSpan w:val="2"/>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hint="eastAsia" w:eastAsia="黑体"/>
                <w:sz w:val="24"/>
                <w:szCs w:val="24"/>
                <w:lang w:val="en-US" w:eastAsia="zh-CN"/>
              </w:rPr>
            </w:pPr>
            <w:r>
              <w:rPr>
                <w:rFonts w:hint="eastAsia" w:eastAsia="黑体"/>
                <w:sz w:val="24"/>
                <w:szCs w:val="24"/>
                <w:lang w:val="en-US" w:eastAsia="zh-CN"/>
              </w:rPr>
              <w:t>曹宁</w:t>
            </w:r>
          </w:p>
        </w:tc>
      </w:tr>
    </w:tbl>
    <w:p>
      <w:pPr>
        <w:spacing w:before="156" w:beforeLines="50" w:line="300" w:lineRule="auto"/>
        <w:rPr>
          <w:rFonts w:eastAsia="黑体"/>
          <w:sz w:val="28"/>
          <w:szCs w:val="28"/>
        </w:rPr>
      </w:pPr>
      <w:r>
        <w:rPr>
          <w:rFonts w:hint="eastAsia" w:eastAsia="黑体"/>
          <w:sz w:val="28"/>
          <w:szCs w:val="28"/>
        </w:rPr>
        <w:t>一、课程简介</w:t>
      </w:r>
    </w:p>
    <w:p>
      <w:pPr>
        <w:pStyle w:val="2"/>
        <w:snapToGrid w:val="0"/>
        <w:spacing w:line="300" w:lineRule="auto"/>
        <w:ind w:firstLine="480" w:firstLineChars="200"/>
        <w:rPr>
          <w:rFonts w:hint="eastAsia"/>
          <w:i/>
          <w:sz w:val="24"/>
          <w:szCs w:val="24"/>
        </w:rPr>
      </w:pPr>
      <w:r>
        <w:rPr>
          <w:rFonts w:hint="eastAsia"/>
          <w:i/>
          <w:sz w:val="24"/>
          <w:szCs w:val="24"/>
        </w:rPr>
        <w:t>（300-500字，为宋体小四号字。简要介绍的性质、主要教学内容、课程学习目标等。）</w:t>
      </w:r>
    </w:p>
    <w:p>
      <w:pPr>
        <w:pStyle w:val="2"/>
        <w:snapToGrid w:val="0"/>
        <w:spacing w:line="300" w:lineRule="auto"/>
        <w:ind w:firstLine="480" w:firstLineChars="200"/>
        <w:rPr>
          <w:rFonts w:hint="eastAsia" w:ascii="宋体" w:hAnsi="宋体" w:eastAsia="宋体" w:cs="宋体"/>
          <w:i/>
          <w:sz w:val="24"/>
          <w:szCs w:val="24"/>
        </w:rPr>
      </w:pPr>
      <w:r>
        <w:rPr>
          <w:rFonts w:hint="eastAsia" w:ascii="宋体" w:hAnsi="宋体" w:eastAsia="宋体" w:cs="宋体"/>
          <w:sz w:val="24"/>
          <w:szCs w:val="24"/>
        </w:rPr>
        <w:t>实验室安全是材料</w:t>
      </w:r>
      <w:r>
        <w:rPr>
          <w:rFonts w:hint="eastAsia" w:ascii="宋体" w:hAnsi="宋体" w:eastAsia="宋体" w:cs="宋体"/>
          <w:sz w:val="24"/>
          <w:szCs w:val="24"/>
          <w:lang w:val="en-US" w:eastAsia="zh-CN"/>
        </w:rPr>
        <w:t>/化工/化学</w:t>
      </w:r>
      <w:r>
        <w:rPr>
          <w:rFonts w:hint="eastAsia" w:ascii="宋体" w:hAnsi="宋体" w:eastAsia="宋体" w:cs="宋体"/>
          <w:sz w:val="24"/>
          <w:szCs w:val="24"/>
        </w:rPr>
        <w:t>专业的一门重要的基础课。实验室安全是用科学的方法研究科学实验室和材料</w:t>
      </w:r>
      <w:r>
        <w:rPr>
          <w:rFonts w:hint="eastAsia" w:ascii="宋体" w:hAnsi="宋体" w:eastAsia="宋体" w:cs="宋体"/>
          <w:sz w:val="24"/>
          <w:szCs w:val="24"/>
          <w:lang w:val="en-US" w:eastAsia="zh-CN"/>
        </w:rPr>
        <w:t>/化工/化学</w:t>
      </w:r>
      <w:r>
        <w:rPr>
          <w:rFonts w:hint="eastAsia" w:ascii="宋体" w:hAnsi="宋体" w:eastAsia="宋体" w:cs="宋体"/>
          <w:sz w:val="24"/>
          <w:szCs w:val="24"/>
        </w:rPr>
        <w:t>过程中容易发生的安全问题及其有效解决办法的一门学科。通过实验室安全的课程学习，使学生系统地掌握现代安全实验技术，培养学生安全意识，训练学生预见安全隐患，分析安全问题和处理安全事故的能力；了解安全科学的新进展，启发学生的创新精神，为学生进一步学好材料</w:t>
      </w:r>
      <w:r>
        <w:rPr>
          <w:rFonts w:hint="eastAsia" w:ascii="宋体" w:hAnsi="宋体" w:eastAsia="宋体" w:cs="宋体"/>
          <w:sz w:val="24"/>
          <w:szCs w:val="24"/>
          <w:lang w:val="en-US" w:eastAsia="zh-CN"/>
        </w:rPr>
        <w:t>/化工/化学</w:t>
      </w:r>
      <w:r>
        <w:rPr>
          <w:rFonts w:hint="eastAsia" w:ascii="宋体" w:hAnsi="宋体" w:eastAsia="宋体" w:cs="宋体"/>
          <w:sz w:val="24"/>
          <w:szCs w:val="24"/>
        </w:rPr>
        <w:t>专业有关后续课程和科学研究准备必要的安全知识，并为以后从事与材料</w:t>
      </w:r>
      <w:r>
        <w:rPr>
          <w:rFonts w:hint="eastAsia" w:ascii="宋体" w:hAnsi="宋体" w:eastAsia="宋体" w:cs="宋体"/>
          <w:sz w:val="24"/>
          <w:szCs w:val="24"/>
          <w:lang w:val="en-US" w:eastAsia="zh-CN"/>
        </w:rPr>
        <w:t>/化工/化学/</w:t>
      </w:r>
      <w:r>
        <w:rPr>
          <w:rFonts w:hint="eastAsia" w:ascii="宋体" w:hAnsi="宋体" w:eastAsia="宋体" w:cs="宋体"/>
          <w:sz w:val="24"/>
          <w:szCs w:val="24"/>
        </w:rPr>
        <w:t>学科有关的教学、科研与生产奠定基础。</w:t>
      </w:r>
    </w:p>
    <w:p>
      <w:pPr>
        <w:spacing w:line="300" w:lineRule="auto"/>
        <w:rPr>
          <w:rFonts w:eastAsia="黑体"/>
          <w:sz w:val="28"/>
          <w:szCs w:val="28"/>
        </w:rPr>
      </w:pPr>
      <w:r>
        <w:rPr>
          <w:rFonts w:hint="eastAsia" w:eastAsia="黑体"/>
          <w:sz w:val="28"/>
          <w:szCs w:val="28"/>
        </w:rPr>
        <w:t>二、课程大纲</w:t>
      </w:r>
    </w:p>
    <w:p>
      <w:pPr>
        <w:spacing w:line="300" w:lineRule="auto"/>
        <w:rPr>
          <w:rFonts w:eastAsia="黑体"/>
          <w:sz w:val="24"/>
          <w:szCs w:val="24"/>
        </w:rPr>
      </w:pPr>
      <w:r>
        <w:rPr>
          <w:rFonts w:hint="eastAsia" w:eastAsia="黑体"/>
          <w:sz w:val="24"/>
          <w:szCs w:val="24"/>
        </w:rPr>
        <w:t>（一）课程目标</w:t>
      </w:r>
    </w:p>
    <w:p>
      <w:pPr>
        <w:spacing w:line="300" w:lineRule="auto"/>
        <w:rPr>
          <w:rFonts w:asciiTheme="minorEastAsia" w:hAnsiTheme="minorEastAsia" w:eastAsiaTheme="minorEastAsia"/>
          <w:i/>
          <w:sz w:val="24"/>
          <w:szCs w:val="24"/>
        </w:rPr>
      </w:pPr>
      <w:r>
        <w:rPr>
          <w:rFonts w:asciiTheme="minorEastAsia" w:hAnsiTheme="minorEastAsia" w:eastAsiaTheme="minorEastAsia"/>
          <w:i/>
          <w:sz w:val="24"/>
          <w:szCs w:val="24"/>
        </w:rPr>
        <w:t>（注</w:t>
      </w:r>
      <w:r>
        <w:rPr>
          <w:rFonts w:hint="eastAsia" w:asciiTheme="minorEastAsia" w:hAnsiTheme="minorEastAsia" w:eastAsiaTheme="minorEastAsia"/>
          <w:i/>
          <w:sz w:val="24"/>
          <w:szCs w:val="24"/>
        </w:rPr>
        <w:t>：</w:t>
      </w:r>
      <w:r>
        <w:rPr>
          <w:rFonts w:asciiTheme="minorEastAsia" w:hAnsiTheme="minorEastAsia" w:eastAsiaTheme="minorEastAsia"/>
          <w:i/>
          <w:sz w:val="24"/>
          <w:szCs w:val="24"/>
        </w:rPr>
        <w:t>根据课程性质，描述课程教学在培养学生知识、能力、素质等方面的贡献。培养方案内课程</w:t>
      </w:r>
      <w:r>
        <w:rPr>
          <w:rFonts w:hint="eastAsia" w:asciiTheme="minorEastAsia" w:hAnsiTheme="minorEastAsia" w:eastAsiaTheme="minorEastAsia"/>
          <w:i/>
          <w:sz w:val="24"/>
          <w:szCs w:val="24"/>
        </w:rPr>
        <w:t>必须</w:t>
      </w:r>
      <w:r>
        <w:rPr>
          <w:rFonts w:asciiTheme="minorEastAsia" w:hAnsiTheme="minorEastAsia" w:eastAsiaTheme="minorEastAsia"/>
          <w:i/>
          <w:sz w:val="24"/>
          <w:szCs w:val="24"/>
        </w:rPr>
        <w:t>与</w:t>
      </w:r>
      <w:r>
        <w:rPr>
          <w:rFonts w:hint="eastAsia" w:asciiTheme="minorEastAsia" w:hAnsiTheme="minorEastAsia" w:eastAsiaTheme="minorEastAsia"/>
          <w:i/>
          <w:sz w:val="24"/>
          <w:szCs w:val="24"/>
        </w:rPr>
        <w:t>培养目标</w:t>
      </w:r>
      <w:r>
        <w:rPr>
          <w:rFonts w:asciiTheme="minorEastAsia" w:hAnsiTheme="minorEastAsia" w:eastAsiaTheme="minorEastAsia"/>
          <w:i/>
          <w:sz w:val="24"/>
          <w:szCs w:val="24"/>
        </w:rPr>
        <w:t>相对应</w:t>
      </w:r>
      <w:r>
        <w:rPr>
          <w:rFonts w:hint="eastAsia" w:asciiTheme="minorEastAsia" w:hAnsiTheme="minorEastAsia" w:eastAsiaTheme="minorEastAsia"/>
          <w:i/>
          <w:sz w:val="24"/>
          <w:szCs w:val="24"/>
        </w:rPr>
        <w:t>，</w:t>
      </w:r>
      <w:r>
        <w:rPr>
          <w:rFonts w:asciiTheme="minorEastAsia" w:hAnsiTheme="minorEastAsia" w:eastAsiaTheme="minorEastAsia"/>
          <w:i/>
          <w:sz w:val="24"/>
          <w:szCs w:val="24"/>
        </w:rPr>
        <w:t>举例如下）</w:t>
      </w:r>
    </w:p>
    <w:p>
      <w:pPr>
        <w:spacing w:line="300" w:lineRule="auto"/>
        <w:rPr>
          <w:rFonts w:asciiTheme="minorEastAsia" w:hAnsiTheme="minorEastAsia" w:eastAsiaTheme="minorEastAsia"/>
          <w:sz w:val="24"/>
          <w:szCs w:val="24"/>
        </w:rPr>
      </w:pPr>
      <w:r>
        <w:rPr>
          <w:rFonts w:asciiTheme="minorEastAsia" w:hAnsiTheme="minorEastAsia" w:eastAsiaTheme="minorEastAsia"/>
          <w:sz w:val="24"/>
          <w:szCs w:val="24"/>
        </w:rPr>
        <w:t>目标1：通过主要</w:t>
      </w:r>
      <w:r>
        <w:rPr>
          <w:rFonts w:hint="eastAsia" w:asciiTheme="minorEastAsia" w:hAnsiTheme="minorEastAsia" w:eastAsiaTheme="minorEastAsia"/>
          <w:sz w:val="24"/>
          <w:szCs w:val="24"/>
          <w:lang w:val="en-US" w:eastAsia="zh-CN"/>
        </w:rPr>
        <w:t>材料与</w:t>
      </w:r>
      <w:r>
        <w:rPr>
          <w:rFonts w:asciiTheme="minorEastAsia" w:hAnsiTheme="minorEastAsia" w:eastAsiaTheme="minorEastAsia"/>
          <w:sz w:val="24"/>
          <w:szCs w:val="24"/>
        </w:rPr>
        <w:t>化学品分类和保存，腐蚀性</w:t>
      </w:r>
      <w:r>
        <w:rPr>
          <w:rFonts w:hint="eastAsia" w:asciiTheme="minorEastAsia" w:hAnsiTheme="minorEastAsia" w:eastAsiaTheme="minorEastAsia"/>
          <w:sz w:val="24"/>
          <w:szCs w:val="24"/>
          <w:lang w:val="en-US" w:eastAsia="zh-CN"/>
        </w:rPr>
        <w:t>材料与</w:t>
      </w:r>
      <w:r>
        <w:rPr>
          <w:rFonts w:asciiTheme="minorEastAsia" w:hAnsiTheme="minorEastAsia" w:eastAsiaTheme="minorEastAsia"/>
          <w:sz w:val="24"/>
          <w:szCs w:val="24"/>
        </w:rPr>
        <w:t>化学品安全，压缩气体使用，实验室个人防护装备，实验室安全检查方法等具体课程内容，让</w:t>
      </w:r>
      <w:r>
        <w:rPr>
          <w:rFonts w:hint="eastAsia" w:asciiTheme="minorEastAsia" w:hAnsiTheme="minorEastAsia" w:eastAsiaTheme="minorEastAsia"/>
          <w:sz w:val="24"/>
          <w:szCs w:val="24"/>
          <w:lang w:val="en-US" w:eastAsia="zh-CN"/>
        </w:rPr>
        <w:t>研究</w:t>
      </w:r>
      <w:bookmarkStart w:id="11" w:name="_GoBack"/>
      <w:bookmarkEnd w:id="11"/>
      <w:r>
        <w:rPr>
          <w:rFonts w:asciiTheme="minorEastAsia" w:hAnsiTheme="minorEastAsia" w:eastAsiaTheme="minorEastAsia"/>
          <w:sz w:val="24"/>
          <w:szCs w:val="24"/>
        </w:rPr>
        <w:t>生对实验室和</w:t>
      </w:r>
      <w:r>
        <w:rPr>
          <w:rFonts w:hint="eastAsia" w:asciiTheme="minorEastAsia" w:hAnsiTheme="minorEastAsia" w:eastAsiaTheme="minorEastAsia"/>
          <w:sz w:val="24"/>
          <w:szCs w:val="24"/>
          <w:lang w:val="en-US" w:eastAsia="zh-CN"/>
        </w:rPr>
        <w:t>材料/</w:t>
      </w:r>
      <w:r>
        <w:rPr>
          <w:rFonts w:asciiTheme="minorEastAsia" w:hAnsiTheme="minorEastAsia" w:eastAsiaTheme="minorEastAsia"/>
          <w:sz w:val="24"/>
          <w:szCs w:val="24"/>
        </w:rPr>
        <w:t>化</w:t>
      </w:r>
      <w:r>
        <w:rPr>
          <w:rFonts w:hint="eastAsia" w:asciiTheme="minorEastAsia" w:hAnsiTheme="minorEastAsia" w:eastAsiaTheme="minorEastAsia"/>
          <w:sz w:val="24"/>
          <w:szCs w:val="24"/>
          <w:lang w:val="en-US" w:eastAsia="zh-CN"/>
        </w:rPr>
        <w:t>学品</w:t>
      </w:r>
      <w:r>
        <w:rPr>
          <w:rFonts w:asciiTheme="minorEastAsia" w:hAnsiTheme="minorEastAsia" w:eastAsiaTheme="minorEastAsia"/>
          <w:sz w:val="24"/>
          <w:szCs w:val="24"/>
        </w:rPr>
        <w:t>安全方面的安全的对人类重要性和及化工事故的环境等危害性有一个科学和现实的认识。奠定</w:t>
      </w:r>
      <w:r>
        <w:rPr>
          <w:rFonts w:hint="eastAsia" w:asciiTheme="minorEastAsia" w:hAnsiTheme="minorEastAsia" w:eastAsiaTheme="minorEastAsia"/>
          <w:sz w:val="24"/>
          <w:szCs w:val="24"/>
          <w:lang w:val="en-US" w:eastAsia="zh-CN"/>
        </w:rPr>
        <w:t>材料科学</w:t>
      </w:r>
      <w:r>
        <w:rPr>
          <w:rFonts w:hint="eastAsia" w:asciiTheme="minorEastAsia" w:hAnsiTheme="minorEastAsia" w:eastAsiaTheme="minorEastAsia"/>
          <w:sz w:val="24"/>
          <w:szCs w:val="24"/>
        </w:rPr>
        <w:t>与工程</w:t>
      </w:r>
      <w:r>
        <w:rPr>
          <w:rFonts w:asciiTheme="minorEastAsia" w:hAnsiTheme="minorEastAsia" w:eastAsiaTheme="minorEastAsia"/>
          <w:sz w:val="24"/>
          <w:szCs w:val="24"/>
        </w:rPr>
        <w:t>专业实验室和</w:t>
      </w:r>
      <w:r>
        <w:rPr>
          <w:rFonts w:hint="eastAsia" w:asciiTheme="minorEastAsia" w:hAnsiTheme="minorEastAsia" w:eastAsiaTheme="minorEastAsia"/>
          <w:sz w:val="24"/>
          <w:szCs w:val="24"/>
          <w:lang w:val="en-US" w:eastAsia="zh-CN"/>
        </w:rPr>
        <w:t>材料/化学品</w:t>
      </w:r>
      <w:r>
        <w:rPr>
          <w:rFonts w:asciiTheme="minorEastAsia" w:hAnsiTheme="minorEastAsia" w:eastAsiaTheme="minorEastAsia"/>
          <w:sz w:val="24"/>
          <w:szCs w:val="24"/>
        </w:rPr>
        <w:t>安全理论基础及实验室和</w:t>
      </w:r>
      <w:r>
        <w:rPr>
          <w:rFonts w:hint="eastAsia" w:asciiTheme="minorEastAsia" w:hAnsiTheme="minorEastAsia" w:eastAsiaTheme="minorEastAsia"/>
          <w:sz w:val="24"/>
          <w:szCs w:val="24"/>
          <w:lang w:val="en-US" w:eastAsia="zh-CN"/>
        </w:rPr>
        <w:t>材料/化学/</w:t>
      </w:r>
      <w:r>
        <w:rPr>
          <w:rFonts w:asciiTheme="minorEastAsia" w:hAnsiTheme="minorEastAsia" w:eastAsiaTheme="minorEastAsia"/>
          <w:sz w:val="24"/>
          <w:szCs w:val="24"/>
        </w:rPr>
        <w:t>化工安全重要性认识。</w:t>
      </w:r>
    </w:p>
    <w:p>
      <w:pPr>
        <w:spacing w:line="300" w:lineRule="auto"/>
        <w:rPr>
          <w:rFonts w:asciiTheme="minorEastAsia" w:hAnsiTheme="minorEastAsia" w:eastAsiaTheme="minorEastAsia"/>
          <w:sz w:val="24"/>
          <w:szCs w:val="24"/>
        </w:rPr>
      </w:pPr>
      <w:r>
        <w:rPr>
          <w:rFonts w:asciiTheme="minorEastAsia" w:hAnsiTheme="minorEastAsia" w:eastAsiaTheme="minorEastAsia"/>
          <w:sz w:val="24"/>
          <w:szCs w:val="24"/>
        </w:rPr>
        <w:t>目标2：能够运用全球化学品统一分类和管理办法和制度，根据化学品的性质和危害性，</w:t>
      </w:r>
      <w:r>
        <w:rPr>
          <w:rFonts w:hint="eastAsia" w:asciiTheme="minorEastAsia" w:hAnsiTheme="minorEastAsia" w:eastAsiaTheme="minorEastAsia"/>
          <w:sz w:val="24"/>
          <w:szCs w:val="24"/>
        </w:rPr>
        <w:t>学习</w:t>
      </w:r>
      <w:r>
        <w:rPr>
          <w:rFonts w:asciiTheme="minorEastAsia" w:hAnsiTheme="minorEastAsia" w:eastAsiaTheme="minorEastAsia"/>
          <w:sz w:val="24"/>
          <w:szCs w:val="24"/>
        </w:rPr>
        <w:t>危险化学品的统一分类和标签；掌握化工生产事故发生的本质，提高预防和控制化学事故的技术水平；并且能够掌握和分析实验室和化工安全。</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目标3：</w:t>
      </w:r>
      <w:r>
        <w:rPr>
          <w:rFonts w:asciiTheme="minorEastAsia" w:hAnsiTheme="minorEastAsia" w:eastAsiaTheme="minorEastAsia"/>
          <w:sz w:val="24"/>
          <w:szCs w:val="24"/>
        </w:rPr>
        <w:t>能够运用</w:t>
      </w:r>
      <w:bookmarkStart w:id="0" w:name="_Hlk523146872"/>
      <w:r>
        <w:rPr>
          <w:rFonts w:asciiTheme="minorEastAsia" w:hAnsiTheme="minorEastAsia" w:eastAsiaTheme="minorEastAsia"/>
          <w:sz w:val="24"/>
          <w:szCs w:val="24"/>
        </w:rPr>
        <w:t>全球化学品统一分类和管理办法</w:t>
      </w:r>
      <w:bookmarkEnd w:id="0"/>
      <w:r>
        <w:rPr>
          <w:rFonts w:asciiTheme="minorEastAsia" w:hAnsiTheme="minorEastAsia" w:eastAsiaTheme="minorEastAsia"/>
          <w:sz w:val="24"/>
          <w:szCs w:val="24"/>
        </w:rPr>
        <w:t>的基本概念和基础知识，跟踪并理解实验室和化工安全领域及相关技术的发展趋势与成果；具备评价实验室和化工安全的能力，</w:t>
      </w:r>
      <w:r>
        <w:rPr>
          <w:rFonts w:hint="eastAsia" w:asciiTheme="minorEastAsia" w:hAnsiTheme="minorEastAsia" w:eastAsiaTheme="minorEastAsia"/>
          <w:sz w:val="24"/>
          <w:szCs w:val="24"/>
        </w:rPr>
        <w:t>学习危险源辨识与风险预控方法，从</w:t>
      </w:r>
      <w:r>
        <w:rPr>
          <w:rFonts w:asciiTheme="minorEastAsia" w:hAnsiTheme="minorEastAsia" w:eastAsiaTheme="minorEastAsia"/>
          <w:sz w:val="24"/>
          <w:szCs w:val="24"/>
        </w:rPr>
        <w:t>项目管理的角度能为化学和材料项目的安全性和可行性提出基础建议。</w:t>
      </w:r>
    </w:p>
    <w:p>
      <w:pPr>
        <w:spacing w:line="300" w:lineRule="auto"/>
        <w:rPr>
          <w:rFonts w:eastAsia="黑体"/>
          <w:sz w:val="24"/>
          <w:szCs w:val="24"/>
        </w:rPr>
      </w:pPr>
      <w:r>
        <w:rPr>
          <w:rFonts w:hint="eastAsia" w:eastAsia="黑体"/>
          <w:sz w:val="24"/>
          <w:szCs w:val="24"/>
        </w:rPr>
        <w:t>（二）课程内容</w:t>
      </w:r>
    </w:p>
    <w:tbl>
      <w:tblPr>
        <w:tblStyle w:val="8"/>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1" w:hRule="atLeast"/>
        </w:trPr>
        <w:tc>
          <w:tcPr>
            <w:tcW w:w="8789" w:type="dxa"/>
          </w:tcPr>
          <w:p>
            <w:pPr>
              <w:spacing w:line="300" w:lineRule="auto"/>
              <w:rPr>
                <w:rFonts w:asciiTheme="minorEastAsia" w:hAnsiTheme="minorEastAsia" w:eastAsiaTheme="minorEastAsia"/>
                <w:i/>
                <w:sz w:val="24"/>
                <w:szCs w:val="24"/>
              </w:rPr>
            </w:pPr>
            <w:r>
              <w:rPr>
                <w:rFonts w:hint="eastAsia" w:eastAsia="黑体"/>
                <w:sz w:val="24"/>
                <w:szCs w:val="24"/>
              </w:rPr>
              <w:t xml:space="preserve">    </w:t>
            </w:r>
            <w:r>
              <w:rPr>
                <w:rFonts w:hint="eastAsia" w:eastAsia="黑体"/>
                <w:i/>
                <w:sz w:val="24"/>
                <w:szCs w:val="24"/>
              </w:rPr>
              <w:t>（</w:t>
            </w:r>
            <w:r>
              <w:rPr>
                <w:rFonts w:hint="eastAsia" w:asciiTheme="minorEastAsia" w:hAnsiTheme="minorEastAsia" w:eastAsiaTheme="minorEastAsia"/>
                <w:i/>
                <w:sz w:val="24"/>
                <w:szCs w:val="24"/>
              </w:rPr>
              <w:t>按章节顺序编写，编号见下例，每一章要说明该章的教学重点和难点，每一节要详细说明本节的具体教学内容。具体内容应清楚地表达知识、技能的范围和深度，充分反映课程的知识和技能要求，体现课程特点。对于实践教学环节如实验、实习、研讨课、其它实践活动等，应当在此处说明各环节如实验项目的基本教学内容、教学要求等。）</w:t>
            </w:r>
          </w:p>
          <w:p>
            <w:pPr>
              <w:widowControl/>
              <w:spacing w:before="156" w:beforeLines="50" w:after="156" w:afterLines="50" w:line="288" w:lineRule="auto"/>
              <w:ind w:firstLine="425"/>
              <w:jc w:val="left"/>
              <w:rPr>
                <w:rFonts w:hint="default" w:ascii="Times New Roman" w:hAnsi="Times New Roman" w:eastAsia="宋体" w:cs="Times New Roman"/>
                <w:b/>
                <w:kern w:val="0"/>
                <w:sz w:val="24"/>
                <w:szCs w:val="24"/>
              </w:rPr>
            </w:pPr>
            <w:bookmarkStart w:id="1" w:name="_Hlk523217385"/>
            <w:r>
              <w:rPr>
                <w:rFonts w:hint="default" w:ascii="Times New Roman" w:hAnsi="Times New Roman" w:eastAsia="宋体" w:cs="Times New Roman"/>
                <w:b/>
                <w:kern w:val="0"/>
                <w:sz w:val="24"/>
                <w:szCs w:val="24"/>
              </w:rPr>
              <w:t>1．</w:t>
            </w:r>
            <w:bookmarkEnd w:id="1"/>
            <w:r>
              <w:rPr>
                <w:rFonts w:hint="default" w:ascii="Times New Roman" w:hAnsi="Times New Roman" w:eastAsia="宋体" w:cs="Times New Roman"/>
                <w:b/>
                <w:kern w:val="0"/>
                <w:sz w:val="24"/>
                <w:szCs w:val="24"/>
              </w:rPr>
              <w:t>绪论（</w:t>
            </w:r>
            <w:r>
              <w:rPr>
                <w:rFonts w:hint="eastAsia" w:cs="Times New Roman"/>
                <w:b/>
                <w:kern w:val="0"/>
                <w:sz w:val="24"/>
                <w:szCs w:val="24"/>
                <w:lang w:val="en-US" w:eastAsia="zh-CN"/>
              </w:rPr>
              <w:t>2</w:t>
            </w:r>
            <w:r>
              <w:rPr>
                <w:rFonts w:hint="default" w:ascii="Times New Roman" w:hAnsi="Times New Roman" w:eastAsia="宋体" w:cs="Times New Roman"/>
                <w:b/>
                <w:kern w:val="0"/>
                <w:sz w:val="24"/>
                <w:szCs w:val="24"/>
              </w:rPr>
              <w:t>学时）</w:t>
            </w:r>
          </w:p>
          <w:p>
            <w:pPr>
              <w:spacing w:line="288" w:lineRule="auto"/>
              <w:ind w:firstLine="425"/>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本章重点难点</w:t>
            </w:r>
            <w:r>
              <w:rPr>
                <w:rFonts w:hint="default" w:ascii="Times New Roman" w:hAnsi="Times New Roman" w:eastAsia="宋体" w:cs="Times New Roman"/>
                <w:sz w:val="24"/>
                <w:szCs w:val="24"/>
              </w:rPr>
              <w:t>：化学化工的重要性，化工事故的环境等危害性。</w:t>
            </w:r>
          </w:p>
          <w:p>
            <w:pPr>
              <w:spacing w:line="288" w:lineRule="auto"/>
              <w:ind w:firstLine="425"/>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要求：了解化学化工对国民经济的重要性；了解化工事故对环境、经济和人类生活的危害性；了解实验室和化工安全在国民经济和安全生产的重要性；了解该课程在高分子材料与工程专业中的地位。</w:t>
            </w:r>
            <w:bookmarkStart w:id="2" w:name="_Hlk523147440"/>
          </w:p>
          <w:p>
            <w:pPr>
              <w:widowControl/>
              <w:spacing w:before="156" w:beforeLines="50" w:after="156" w:afterLines="50" w:line="288" w:lineRule="auto"/>
              <w:ind w:firstLine="425"/>
              <w:jc w:val="left"/>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2．</w:t>
            </w:r>
            <w:bookmarkStart w:id="3" w:name="_Hlk523222785"/>
            <w:r>
              <w:rPr>
                <w:rFonts w:hint="default" w:ascii="Times New Roman" w:hAnsi="Times New Roman" w:eastAsia="宋体" w:cs="Times New Roman"/>
                <w:b/>
                <w:kern w:val="0"/>
                <w:sz w:val="24"/>
                <w:szCs w:val="24"/>
              </w:rPr>
              <w:t>全球化学品统一分类和标签制度（</w:t>
            </w:r>
            <w:bookmarkStart w:id="4" w:name="_Hlk523147480"/>
            <w:r>
              <w:rPr>
                <w:rFonts w:hint="default" w:ascii="Times New Roman" w:hAnsi="Times New Roman" w:eastAsia="宋体" w:cs="Times New Roman"/>
                <w:b/>
                <w:kern w:val="0"/>
                <w:sz w:val="24"/>
                <w:szCs w:val="24"/>
              </w:rPr>
              <w:t>GHS</w:t>
            </w:r>
            <w:bookmarkEnd w:id="4"/>
            <w:r>
              <w:rPr>
                <w:rFonts w:hint="default" w:ascii="Times New Roman" w:hAnsi="Times New Roman" w:eastAsia="宋体" w:cs="Times New Roman"/>
                <w:b/>
                <w:kern w:val="0"/>
                <w:sz w:val="24"/>
                <w:szCs w:val="24"/>
              </w:rPr>
              <w:t>）</w:t>
            </w:r>
            <w:bookmarkEnd w:id="2"/>
            <w:bookmarkEnd w:id="3"/>
          </w:p>
          <w:p>
            <w:pPr>
              <w:tabs>
                <w:tab w:val="left" w:pos="0"/>
              </w:tabs>
              <w:spacing w:line="288" w:lineRule="auto"/>
              <w:ind w:firstLine="425"/>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本章重点难点</w:t>
            </w:r>
            <w:r>
              <w:rPr>
                <w:rFonts w:hint="default" w:ascii="Times New Roman" w:hAnsi="Times New Roman" w:eastAsia="宋体" w:cs="Times New Roman"/>
                <w:sz w:val="24"/>
                <w:szCs w:val="24"/>
              </w:rPr>
              <w:t>：GHS制度产生的背景，GHS制度的主要内容，</w:t>
            </w:r>
            <w:bookmarkStart w:id="5" w:name="_Hlk523147712"/>
            <w:r>
              <w:rPr>
                <w:rFonts w:hint="default" w:ascii="Times New Roman" w:hAnsi="Times New Roman" w:eastAsia="宋体" w:cs="Times New Roman"/>
                <w:sz w:val="24"/>
                <w:szCs w:val="24"/>
              </w:rPr>
              <w:t>GHS制度的目的、范围和适用原则</w:t>
            </w:r>
            <w:bookmarkEnd w:id="5"/>
            <w:r>
              <w:rPr>
                <w:rFonts w:hint="default" w:ascii="Times New Roman" w:hAnsi="Times New Roman" w:eastAsia="宋体" w:cs="Times New Roman"/>
                <w:sz w:val="24"/>
                <w:szCs w:val="24"/>
              </w:rPr>
              <w:t>，国外GHS的实施情况，如何应对GHS制度，中国GHS的实施情况。</w:t>
            </w:r>
          </w:p>
          <w:p>
            <w:pPr>
              <w:spacing w:line="288" w:lineRule="auto"/>
              <w:ind w:firstLine="425"/>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要求：掌握全球化学品统一分类和标签制度（GHS）的定义，了解</w:t>
            </w:r>
            <w:bookmarkStart w:id="6" w:name="_Hlk523147628"/>
            <w:r>
              <w:rPr>
                <w:rFonts w:hint="default" w:ascii="Times New Roman" w:hAnsi="Times New Roman" w:eastAsia="宋体" w:cs="Times New Roman"/>
                <w:sz w:val="24"/>
                <w:szCs w:val="24"/>
              </w:rPr>
              <w:t>GHS制度</w:t>
            </w:r>
            <w:bookmarkEnd w:id="6"/>
            <w:r>
              <w:rPr>
                <w:rFonts w:hint="default" w:ascii="Times New Roman" w:hAnsi="Times New Roman" w:eastAsia="宋体" w:cs="Times New Roman"/>
                <w:sz w:val="24"/>
                <w:szCs w:val="24"/>
              </w:rPr>
              <w:t>产生的背景、发展历史及重要性。掌握GHS制度的目的、范围和适用原则，了解GHS制度对化学品的分类和统一管理，掌握GHS制度的主要内容。了解GHS制度的国内外实施情况及企业如何应对GHS制度。</w:t>
            </w:r>
          </w:p>
          <w:p>
            <w:pPr>
              <w:widowControl/>
              <w:spacing w:before="156" w:beforeLines="50" w:after="156" w:afterLines="50" w:line="288" w:lineRule="auto"/>
              <w:ind w:firstLine="425"/>
              <w:jc w:val="left"/>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 xml:space="preserve">3．危险化学品分类和存储 </w:t>
            </w:r>
          </w:p>
          <w:p>
            <w:pPr>
              <w:pStyle w:val="6"/>
              <w:spacing w:line="288" w:lineRule="auto"/>
              <w:ind w:firstLine="425"/>
              <w:textAlignment w:val="baseline"/>
              <w:rPr>
                <w:rFonts w:hint="default" w:ascii="Times New Roman" w:hAnsi="Times New Roman" w:eastAsia="宋体" w:cs="Times New Roman"/>
                <w:kern w:val="2"/>
                <w:sz w:val="24"/>
                <w:szCs w:val="24"/>
              </w:rPr>
            </w:pPr>
            <w:r>
              <w:rPr>
                <w:rFonts w:hint="default" w:ascii="Times New Roman" w:hAnsi="Times New Roman" w:eastAsia="宋体" w:cs="Times New Roman"/>
                <w:sz w:val="24"/>
                <w:szCs w:val="24"/>
                <w:lang w:val="en-US" w:eastAsia="zh-CN"/>
              </w:rPr>
              <w:t>本章重点难点</w:t>
            </w:r>
            <w:r>
              <w:rPr>
                <w:rFonts w:hint="default" w:ascii="Times New Roman" w:hAnsi="Times New Roman" w:eastAsia="宋体" w:cs="Times New Roman"/>
                <w:kern w:val="2"/>
                <w:sz w:val="24"/>
                <w:szCs w:val="24"/>
              </w:rPr>
              <w:t>：</w:t>
            </w:r>
            <w:bookmarkStart w:id="7" w:name="_Hlk523222753"/>
            <w:r>
              <w:rPr>
                <w:rFonts w:hint="default" w:ascii="Times New Roman" w:hAnsi="Times New Roman" w:eastAsia="宋体" w:cs="Times New Roman"/>
                <w:kern w:val="2"/>
                <w:sz w:val="24"/>
                <w:szCs w:val="24"/>
              </w:rPr>
              <w:t>危险化学品的分类</w:t>
            </w:r>
            <w:bookmarkEnd w:id="7"/>
            <w:r>
              <w:rPr>
                <w:rFonts w:hint="default" w:ascii="Times New Roman" w:hAnsi="Times New Roman" w:eastAsia="宋体" w:cs="Times New Roman"/>
                <w:kern w:val="2"/>
                <w:sz w:val="24"/>
                <w:szCs w:val="24"/>
              </w:rPr>
              <w:t>，危险化学品的安全标签和危险化学品的存储。</w:t>
            </w:r>
          </w:p>
          <w:p>
            <w:pPr>
              <w:pStyle w:val="6"/>
              <w:kinsoku w:val="0"/>
              <w:overflowPunct w:val="0"/>
              <w:spacing w:line="288" w:lineRule="auto"/>
              <w:ind w:firstLine="425"/>
              <w:textAlignment w:val="baseline"/>
              <w:rPr>
                <w:rFonts w:hint="default" w:ascii="Times New Roman" w:hAnsi="Times New Roman" w:eastAsia="宋体" w:cs="Times New Roman"/>
                <w:kern w:val="2"/>
                <w:sz w:val="24"/>
                <w:szCs w:val="24"/>
              </w:rPr>
            </w:pPr>
            <w:bookmarkStart w:id="8" w:name="_Hlk523215370"/>
            <w:r>
              <w:rPr>
                <w:rFonts w:hint="default" w:ascii="Times New Roman" w:hAnsi="Times New Roman" w:eastAsia="宋体" w:cs="Times New Roman"/>
                <w:sz w:val="24"/>
                <w:szCs w:val="24"/>
              </w:rPr>
              <w:t>要求</w:t>
            </w:r>
            <w:bookmarkEnd w:id="8"/>
            <w:r>
              <w:rPr>
                <w:rFonts w:hint="default" w:ascii="Times New Roman" w:hAnsi="Times New Roman" w:eastAsia="宋体" w:cs="Times New Roman"/>
                <w:sz w:val="24"/>
                <w:szCs w:val="24"/>
              </w:rPr>
              <w:t>：</w:t>
            </w:r>
            <w:r>
              <w:rPr>
                <w:rFonts w:hint="default" w:ascii="Times New Roman" w:hAnsi="Times New Roman" w:eastAsia="宋体" w:cs="Times New Roman"/>
                <w:kern w:val="2"/>
                <w:sz w:val="24"/>
                <w:szCs w:val="24"/>
              </w:rPr>
              <w:t>了解危险化学品的危害性及危害原理，掌握危险化学品的分类和存储，了解化学品管理的法律法规。掌握危险化学品的管理，了解化学品安全技术说明书，了解危险化学品标识符，掌握化工化学安全色和标识图，掌握危险化学品的应对策略和预防措施。了解国内外重大危险化学品事故，并能对普通危险化学品事故进行分析。</w:t>
            </w:r>
          </w:p>
          <w:p>
            <w:pPr>
              <w:widowControl/>
              <w:spacing w:before="156" w:beforeLines="50" w:after="156" w:afterLines="50" w:line="288" w:lineRule="auto"/>
              <w:ind w:firstLine="425"/>
              <w:jc w:val="left"/>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 xml:space="preserve">4．压缩气体使用 </w:t>
            </w:r>
          </w:p>
          <w:p>
            <w:pPr>
              <w:pStyle w:val="6"/>
              <w:kinsoku w:val="0"/>
              <w:overflowPunct w:val="0"/>
              <w:spacing w:line="288" w:lineRule="auto"/>
              <w:ind w:firstLine="425"/>
              <w:textAlignment w:val="baseline"/>
              <w:rPr>
                <w:rFonts w:hint="default" w:ascii="Times New Roman" w:hAnsi="Times New Roman" w:eastAsia="宋体" w:cs="Times New Roman"/>
                <w:kern w:val="2"/>
                <w:sz w:val="24"/>
                <w:szCs w:val="24"/>
              </w:rPr>
            </w:pPr>
            <w:r>
              <w:rPr>
                <w:rFonts w:hint="default" w:ascii="Times New Roman" w:hAnsi="Times New Roman" w:eastAsia="宋体" w:cs="Times New Roman"/>
                <w:sz w:val="24"/>
                <w:szCs w:val="24"/>
                <w:lang w:val="en-US" w:eastAsia="zh-CN"/>
              </w:rPr>
              <w:t>本章重点难点</w:t>
            </w:r>
            <w:r>
              <w:rPr>
                <w:rFonts w:hint="default" w:ascii="Times New Roman" w:hAnsi="Times New Roman" w:eastAsia="宋体" w:cs="Times New Roman"/>
                <w:sz w:val="24"/>
                <w:szCs w:val="24"/>
              </w:rPr>
              <w:t>：</w:t>
            </w:r>
            <w:r>
              <w:rPr>
                <w:rFonts w:hint="default" w:ascii="Times New Roman" w:hAnsi="Times New Roman" w:eastAsia="宋体" w:cs="Times New Roman"/>
                <w:kern w:val="2"/>
                <w:sz w:val="24"/>
                <w:szCs w:val="24"/>
              </w:rPr>
              <w:t>压缩气体及其危险特性，气瓶及其使用安全，气瓶的运输与存储</w:t>
            </w:r>
          </w:p>
          <w:p>
            <w:pPr>
              <w:spacing w:line="288" w:lineRule="auto"/>
              <w:ind w:firstLine="425"/>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要求：了解压缩气体的定义和分类，掌握常见压缩气体的危害性，了解压缩气体的安全使用原则、方法和应对措施，了解压缩气体的运输和存储注意事项。了解气瓶的构造、标识和存放。</w:t>
            </w:r>
          </w:p>
          <w:p>
            <w:pPr>
              <w:widowControl/>
              <w:spacing w:before="156" w:beforeLines="50" w:after="156" w:afterLines="50" w:line="288" w:lineRule="auto"/>
              <w:ind w:firstLine="425"/>
              <w:jc w:val="left"/>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5．危险辨识与控制</w:t>
            </w:r>
          </w:p>
          <w:p>
            <w:pPr>
              <w:pStyle w:val="6"/>
              <w:kinsoku w:val="0"/>
              <w:overflowPunct w:val="0"/>
              <w:spacing w:line="288" w:lineRule="auto"/>
              <w:ind w:firstLine="425"/>
              <w:textAlignment w:val="baseline"/>
              <w:rPr>
                <w:rFonts w:hint="default" w:ascii="Times New Roman" w:hAnsi="Times New Roman" w:eastAsia="宋体" w:cs="Times New Roman"/>
                <w:kern w:val="2"/>
                <w:sz w:val="24"/>
                <w:szCs w:val="24"/>
              </w:rPr>
            </w:pPr>
            <w:r>
              <w:rPr>
                <w:rFonts w:hint="default" w:ascii="Times New Roman" w:hAnsi="Times New Roman" w:eastAsia="宋体" w:cs="Times New Roman"/>
                <w:sz w:val="24"/>
                <w:szCs w:val="24"/>
                <w:lang w:val="en-US" w:eastAsia="zh-CN"/>
              </w:rPr>
              <w:t>本章重点难点</w:t>
            </w:r>
            <w:r>
              <w:rPr>
                <w:rFonts w:hint="default" w:ascii="Times New Roman" w:hAnsi="Times New Roman" w:eastAsia="宋体" w:cs="Times New Roman"/>
                <w:b/>
                <w:sz w:val="24"/>
                <w:szCs w:val="24"/>
              </w:rPr>
              <w:t>：</w:t>
            </w:r>
            <w:r>
              <w:rPr>
                <w:rFonts w:hint="default" w:ascii="Times New Roman" w:hAnsi="Times New Roman" w:eastAsia="宋体" w:cs="Times New Roman"/>
                <w:kern w:val="2"/>
                <w:sz w:val="24"/>
                <w:szCs w:val="24"/>
              </w:rPr>
              <w:t>危险和有害因素辨识，HAZOP分析，化工企业双重预防机制</w:t>
            </w:r>
          </w:p>
          <w:p>
            <w:pPr>
              <w:pStyle w:val="6"/>
              <w:kinsoku w:val="0"/>
              <w:overflowPunct w:val="0"/>
              <w:spacing w:line="288" w:lineRule="auto"/>
              <w:ind w:firstLine="425"/>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要求：了解</w:t>
            </w:r>
            <w:r>
              <w:rPr>
                <w:rFonts w:hint="default" w:ascii="Times New Roman" w:hAnsi="Times New Roman" w:eastAsia="宋体" w:cs="Times New Roman"/>
                <w:kern w:val="2"/>
                <w:sz w:val="24"/>
                <w:szCs w:val="24"/>
              </w:rPr>
              <w:t>危险和有害因素辨识</w:t>
            </w:r>
            <w:r>
              <w:rPr>
                <w:rFonts w:hint="default" w:ascii="Times New Roman" w:hAnsi="Times New Roman" w:eastAsia="宋体" w:cs="Times New Roman"/>
                <w:sz w:val="24"/>
                <w:szCs w:val="24"/>
              </w:rPr>
              <w:t>的定义和分类，了解</w:t>
            </w:r>
            <w:r>
              <w:rPr>
                <w:rFonts w:hint="default" w:ascii="Times New Roman" w:hAnsi="Times New Roman" w:eastAsia="宋体" w:cs="Times New Roman"/>
                <w:kern w:val="2"/>
                <w:sz w:val="24"/>
                <w:szCs w:val="24"/>
              </w:rPr>
              <w:t>化工企业双重预防机制</w:t>
            </w:r>
            <w:r>
              <w:rPr>
                <w:rFonts w:hint="default" w:ascii="Times New Roman" w:hAnsi="Times New Roman" w:eastAsia="宋体" w:cs="Times New Roman"/>
                <w:sz w:val="24"/>
                <w:szCs w:val="24"/>
              </w:rPr>
              <w:t>，了解</w:t>
            </w:r>
            <w:r>
              <w:rPr>
                <w:rFonts w:hint="default" w:ascii="Times New Roman" w:hAnsi="Times New Roman" w:eastAsia="宋体" w:cs="Times New Roman"/>
                <w:kern w:val="2"/>
                <w:sz w:val="24"/>
                <w:szCs w:val="24"/>
              </w:rPr>
              <w:t>HAZOP分析</w:t>
            </w:r>
            <w:r>
              <w:rPr>
                <w:rFonts w:hint="default" w:ascii="Times New Roman" w:hAnsi="Times New Roman" w:eastAsia="宋体" w:cs="Times New Roman"/>
                <w:sz w:val="24"/>
                <w:szCs w:val="24"/>
              </w:rPr>
              <w:t>。</w:t>
            </w:r>
          </w:p>
          <w:p>
            <w:pPr>
              <w:widowControl/>
              <w:spacing w:before="156" w:beforeLines="50" w:after="156" w:afterLines="50" w:line="288" w:lineRule="auto"/>
              <w:ind w:firstLine="425"/>
              <w:jc w:val="left"/>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6.  实验室个人防护装备（</w:t>
            </w:r>
            <w:r>
              <w:rPr>
                <w:rFonts w:hint="eastAsia" w:cs="Times New Roman"/>
                <w:b/>
                <w:kern w:val="0"/>
                <w:sz w:val="24"/>
                <w:szCs w:val="24"/>
                <w:lang w:val="en-US" w:eastAsia="zh-CN"/>
              </w:rPr>
              <w:t>4</w:t>
            </w:r>
            <w:r>
              <w:rPr>
                <w:rFonts w:hint="default" w:ascii="Times New Roman" w:hAnsi="Times New Roman" w:eastAsia="宋体" w:cs="Times New Roman"/>
                <w:b/>
                <w:kern w:val="0"/>
                <w:sz w:val="24"/>
                <w:szCs w:val="24"/>
              </w:rPr>
              <w:t>学时）</w:t>
            </w:r>
          </w:p>
          <w:p>
            <w:pPr>
              <w:pStyle w:val="6"/>
              <w:kinsoku w:val="0"/>
              <w:overflowPunct w:val="0"/>
              <w:spacing w:line="288" w:lineRule="auto"/>
              <w:ind w:firstLine="425"/>
              <w:textAlignment w:val="baseline"/>
              <w:rPr>
                <w:rFonts w:hint="default" w:ascii="Times New Roman" w:hAnsi="Times New Roman" w:eastAsia="宋体" w:cs="Times New Roman"/>
                <w:kern w:val="2"/>
                <w:sz w:val="24"/>
                <w:szCs w:val="24"/>
              </w:rPr>
            </w:pPr>
            <w:r>
              <w:rPr>
                <w:rFonts w:hint="default" w:ascii="Times New Roman" w:hAnsi="Times New Roman" w:eastAsia="宋体" w:cs="Times New Roman"/>
                <w:sz w:val="24"/>
                <w:szCs w:val="24"/>
                <w:lang w:val="en-US" w:eastAsia="zh-CN"/>
              </w:rPr>
              <w:t>本章重点难点</w:t>
            </w:r>
            <w:r>
              <w:rPr>
                <w:rFonts w:hint="default" w:ascii="Times New Roman" w:hAnsi="Times New Roman" w:eastAsia="宋体" w:cs="Times New Roman"/>
                <w:sz w:val="24"/>
                <w:szCs w:val="24"/>
              </w:rPr>
              <w:t>：</w:t>
            </w:r>
            <w:r>
              <w:rPr>
                <w:rFonts w:hint="default" w:ascii="Times New Roman" w:hAnsi="Times New Roman" w:eastAsia="宋体" w:cs="Times New Roman"/>
                <w:kern w:val="2"/>
                <w:sz w:val="24"/>
                <w:szCs w:val="24"/>
              </w:rPr>
              <w:t>防护用品的定义、分类和作用等，个人防护用品的使用和存放要求等</w:t>
            </w:r>
          </w:p>
          <w:p>
            <w:pPr>
              <w:spacing w:line="288" w:lineRule="auto"/>
              <w:ind w:firstLine="425"/>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要求：了解个人防护的重要性，掌握个人防护用品的分类和使用要求，掌握个人防护用品的如何选择和有效利用，了解个人防护用品的存放和保养，了解个人防护和职业病之间的关系及预防。</w:t>
            </w:r>
          </w:p>
          <w:p>
            <w:pPr>
              <w:widowControl/>
              <w:spacing w:before="156" w:beforeLines="50" w:after="156" w:afterLines="50" w:line="288" w:lineRule="auto"/>
              <w:ind w:firstLine="425"/>
              <w:jc w:val="left"/>
              <w:rPr>
                <w:rFonts w:hint="default" w:ascii="Times New Roman" w:hAnsi="Times New Roman" w:eastAsia="宋体" w:cs="Times New Roman"/>
                <w:b/>
                <w:kern w:val="0"/>
                <w:sz w:val="24"/>
                <w:szCs w:val="24"/>
              </w:rPr>
            </w:pPr>
            <w:bookmarkStart w:id="9" w:name="_Hlk523222101"/>
            <w:r>
              <w:rPr>
                <w:rFonts w:hint="default" w:ascii="Times New Roman" w:hAnsi="Times New Roman" w:eastAsia="宋体" w:cs="Times New Roman"/>
                <w:b/>
                <w:kern w:val="0"/>
                <w:sz w:val="24"/>
                <w:szCs w:val="24"/>
              </w:rPr>
              <w:t>7．</w:t>
            </w:r>
            <w:bookmarkEnd w:id="9"/>
            <w:r>
              <w:rPr>
                <w:rFonts w:hint="default" w:ascii="Times New Roman" w:hAnsi="Times New Roman" w:eastAsia="宋体" w:cs="Times New Roman"/>
                <w:b/>
                <w:kern w:val="0"/>
                <w:sz w:val="24"/>
                <w:szCs w:val="24"/>
              </w:rPr>
              <w:t>实验室安全检查方法（</w:t>
            </w:r>
            <w:r>
              <w:rPr>
                <w:rFonts w:hint="eastAsia" w:cs="Times New Roman"/>
                <w:b/>
                <w:kern w:val="0"/>
                <w:sz w:val="24"/>
                <w:szCs w:val="24"/>
                <w:lang w:val="en-US" w:eastAsia="zh-CN"/>
              </w:rPr>
              <w:t>6</w:t>
            </w:r>
            <w:r>
              <w:rPr>
                <w:rFonts w:hint="default" w:ascii="Times New Roman" w:hAnsi="Times New Roman" w:eastAsia="宋体" w:cs="Times New Roman"/>
                <w:b/>
                <w:kern w:val="0"/>
                <w:sz w:val="24"/>
                <w:szCs w:val="24"/>
              </w:rPr>
              <w:t>学时）</w:t>
            </w:r>
          </w:p>
          <w:p>
            <w:pPr>
              <w:pStyle w:val="6"/>
              <w:spacing w:line="288" w:lineRule="auto"/>
              <w:ind w:firstLine="425"/>
              <w:textAlignment w:val="baseline"/>
              <w:rPr>
                <w:rFonts w:hint="default" w:ascii="Times New Roman" w:hAnsi="Times New Roman" w:eastAsia="宋体" w:cs="Times New Roman"/>
                <w:kern w:val="2"/>
                <w:sz w:val="24"/>
                <w:szCs w:val="24"/>
              </w:rPr>
            </w:pPr>
            <w:r>
              <w:rPr>
                <w:rFonts w:hint="default" w:ascii="Times New Roman" w:hAnsi="Times New Roman" w:eastAsia="宋体" w:cs="Times New Roman"/>
                <w:sz w:val="24"/>
                <w:szCs w:val="24"/>
                <w:lang w:val="en-US" w:eastAsia="zh-CN"/>
              </w:rPr>
              <w:t>本章重点难点</w:t>
            </w:r>
            <w:r>
              <w:rPr>
                <w:rFonts w:hint="default" w:ascii="Times New Roman" w:hAnsi="Times New Roman" w:eastAsia="宋体" w:cs="Times New Roman"/>
                <w:kern w:val="2"/>
                <w:sz w:val="24"/>
                <w:szCs w:val="24"/>
              </w:rPr>
              <w:t>：实验室安全的重要性，危险化学品的使用和防护，认识实验室的危险，如何做好实验室的安全工作。</w:t>
            </w:r>
          </w:p>
          <w:p>
            <w:pPr>
              <w:spacing w:line="288" w:lineRule="auto"/>
              <w:ind w:firstLine="425"/>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要求：了解实验室安全的重要性，熟知实验室危险源和隐患因素，掌握实验室危险化学品的正确使用和个人防护，掌握实验室危险化学品的突发事件处理。了解</w:t>
            </w:r>
            <w:r>
              <w:rPr>
                <w:rFonts w:hint="default" w:ascii="Times New Roman" w:hAnsi="Times New Roman" w:eastAsia="宋体" w:cs="Times New Roman"/>
                <w:kern w:val="24"/>
                <w:sz w:val="24"/>
                <w:szCs w:val="24"/>
              </w:rPr>
              <w:t>保护实验室人员的安全和健康，防止环境污染，保证实验室工作安全而有效。</w:t>
            </w:r>
          </w:p>
          <w:p>
            <w:pPr>
              <w:tabs>
                <w:tab w:val="left" w:pos="4171"/>
              </w:tabs>
              <w:spacing w:line="300" w:lineRule="auto"/>
              <w:jc w:val="left"/>
              <w:rPr>
                <w:sz w:val="24"/>
                <w:szCs w:val="24"/>
              </w:rPr>
            </w:pPr>
          </w:p>
          <w:p>
            <w:pPr>
              <w:spacing w:line="300" w:lineRule="auto"/>
              <w:rPr>
                <w:rFonts w:eastAsia="黑体"/>
                <w:sz w:val="24"/>
                <w:szCs w:val="24"/>
              </w:rPr>
            </w:pPr>
          </w:p>
        </w:tc>
      </w:tr>
    </w:tbl>
    <w:p>
      <w:pPr>
        <w:spacing w:line="300" w:lineRule="auto"/>
        <w:rPr>
          <w:rFonts w:eastAsia="黑体"/>
          <w:sz w:val="28"/>
          <w:szCs w:val="28"/>
        </w:rPr>
      </w:pPr>
      <w:r>
        <w:rPr>
          <w:rFonts w:hint="eastAsia" w:eastAsia="黑体"/>
          <w:sz w:val="28"/>
          <w:szCs w:val="28"/>
        </w:rPr>
        <w:t>三、教学安排及要求</w:t>
      </w:r>
      <w:r>
        <w:rPr>
          <w:rFonts w:hint="eastAsia" w:ascii="宋体" w:hAnsi="Courier New" w:cs="Courier New"/>
          <w:kern w:val="2"/>
          <w:sz w:val="24"/>
          <w:szCs w:val="24"/>
        </w:rPr>
        <w:t xml:space="preserve"> </w:t>
      </w:r>
    </w:p>
    <w:tbl>
      <w:tblPr>
        <w:tblStyle w:val="8"/>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850"/>
        <w:gridCol w:w="3119"/>
        <w:gridCol w:w="715"/>
        <w:gridCol w:w="155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35" w:type="dxa"/>
            <w:vAlign w:val="center"/>
          </w:tcPr>
          <w:p>
            <w:pPr>
              <w:jc w:val="center"/>
              <w:rPr>
                <w:rFonts w:eastAsia="黑体"/>
                <w:sz w:val="24"/>
                <w:szCs w:val="21"/>
              </w:rPr>
            </w:pPr>
            <w:r>
              <w:rPr>
                <w:rFonts w:eastAsia="黑体"/>
                <w:sz w:val="24"/>
              </w:rPr>
              <w:t>内容</w:t>
            </w:r>
          </w:p>
        </w:tc>
        <w:tc>
          <w:tcPr>
            <w:tcW w:w="850" w:type="dxa"/>
            <w:vAlign w:val="center"/>
          </w:tcPr>
          <w:p>
            <w:pPr>
              <w:jc w:val="center"/>
              <w:rPr>
                <w:rFonts w:eastAsia="黑体"/>
                <w:sz w:val="24"/>
              </w:rPr>
            </w:pPr>
            <w:r>
              <w:rPr>
                <w:rFonts w:eastAsia="黑体"/>
                <w:sz w:val="24"/>
              </w:rPr>
              <w:t>课内</w:t>
            </w:r>
          </w:p>
          <w:p>
            <w:pPr>
              <w:jc w:val="center"/>
              <w:rPr>
                <w:rFonts w:eastAsia="黑体"/>
                <w:sz w:val="24"/>
                <w:szCs w:val="21"/>
              </w:rPr>
            </w:pPr>
            <w:r>
              <w:rPr>
                <w:rFonts w:eastAsia="黑体"/>
                <w:sz w:val="24"/>
              </w:rPr>
              <w:t>学时</w:t>
            </w:r>
          </w:p>
        </w:tc>
        <w:tc>
          <w:tcPr>
            <w:tcW w:w="3119" w:type="dxa"/>
            <w:vAlign w:val="center"/>
          </w:tcPr>
          <w:p>
            <w:pPr>
              <w:jc w:val="center"/>
              <w:rPr>
                <w:rFonts w:eastAsia="黑体"/>
                <w:sz w:val="24"/>
                <w:szCs w:val="21"/>
              </w:rPr>
            </w:pPr>
            <w:r>
              <w:rPr>
                <w:rFonts w:eastAsia="黑体"/>
                <w:sz w:val="24"/>
              </w:rPr>
              <w:t>教学方式</w:t>
            </w:r>
          </w:p>
        </w:tc>
        <w:tc>
          <w:tcPr>
            <w:tcW w:w="715" w:type="dxa"/>
            <w:vAlign w:val="center"/>
          </w:tcPr>
          <w:p>
            <w:pPr>
              <w:jc w:val="center"/>
              <w:rPr>
                <w:rFonts w:eastAsia="黑体"/>
                <w:sz w:val="24"/>
                <w:szCs w:val="21"/>
              </w:rPr>
            </w:pPr>
            <w:r>
              <w:rPr>
                <w:rFonts w:eastAsia="黑体"/>
                <w:sz w:val="24"/>
                <w:szCs w:val="21"/>
              </w:rPr>
              <w:t>课外</w:t>
            </w:r>
          </w:p>
          <w:p>
            <w:pPr>
              <w:jc w:val="center"/>
              <w:rPr>
                <w:rFonts w:eastAsia="黑体"/>
                <w:sz w:val="24"/>
                <w:szCs w:val="21"/>
              </w:rPr>
            </w:pPr>
            <w:r>
              <w:rPr>
                <w:rFonts w:eastAsia="黑体"/>
                <w:sz w:val="24"/>
                <w:szCs w:val="21"/>
              </w:rPr>
              <w:t>学时</w:t>
            </w:r>
          </w:p>
        </w:tc>
        <w:tc>
          <w:tcPr>
            <w:tcW w:w="1553" w:type="dxa"/>
            <w:vAlign w:val="center"/>
          </w:tcPr>
          <w:p>
            <w:pPr>
              <w:jc w:val="center"/>
              <w:rPr>
                <w:rFonts w:eastAsia="黑体"/>
                <w:sz w:val="24"/>
                <w:szCs w:val="21"/>
              </w:rPr>
            </w:pPr>
            <w:r>
              <w:rPr>
                <w:rFonts w:eastAsia="黑体"/>
                <w:sz w:val="24"/>
              </w:rPr>
              <w:t>课外环节</w:t>
            </w:r>
          </w:p>
        </w:tc>
        <w:tc>
          <w:tcPr>
            <w:tcW w:w="1417" w:type="dxa"/>
            <w:vAlign w:val="center"/>
          </w:tcPr>
          <w:p>
            <w:pPr>
              <w:jc w:val="center"/>
              <w:rPr>
                <w:rFonts w:eastAsia="黑体"/>
                <w:sz w:val="24"/>
                <w:szCs w:val="21"/>
              </w:rPr>
            </w:pPr>
            <w:r>
              <w:rPr>
                <w:rFonts w:eastAsia="黑体"/>
                <w:sz w:val="24"/>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jc w:val="center"/>
              <w:rPr>
                <w:rFonts w:hint="eastAsia" w:eastAsia="黑体"/>
                <w:sz w:val="24"/>
                <w:szCs w:val="21"/>
                <w:lang w:eastAsia="zh-CN"/>
              </w:rPr>
            </w:pPr>
            <w:r>
              <w:rPr>
                <w:rFonts w:hint="eastAsia" w:eastAsia="黑体"/>
                <w:sz w:val="24"/>
                <w:lang w:val="en-US" w:eastAsia="zh-CN"/>
              </w:rPr>
              <w:t>1</w:t>
            </w:r>
          </w:p>
        </w:tc>
        <w:tc>
          <w:tcPr>
            <w:tcW w:w="850" w:type="dxa"/>
            <w:vAlign w:val="center"/>
          </w:tcPr>
          <w:p>
            <w:pPr>
              <w:jc w:val="center"/>
              <w:rPr>
                <w:rFonts w:hint="default" w:ascii="Times New Roman" w:hAnsi="Times New Roman" w:eastAsia="宋体" w:cs="Times New Roman"/>
                <w:b w:val="0"/>
                <w:bCs w:val="0"/>
                <w:sz w:val="24"/>
                <w:szCs w:val="21"/>
              </w:rPr>
            </w:pPr>
            <w:r>
              <w:rPr>
                <w:rFonts w:hint="default" w:ascii="Times New Roman" w:hAnsi="Times New Roman" w:eastAsia="宋体" w:cs="Times New Roman"/>
                <w:b w:val="0"/>
                <w:bCs w:val="0"/>
                <w:sz w:val="24"/>
              </w:rPr>
              <w:t>2</w:t>
            </w:r>
          </w:p>
        </w:tc>
        <w:tc>
          <w:tcPr>
            <w:tcW w:w="3119" w:type="dxa"/>
            <w:vAlign w:val="center"/>
          </w:tcPr>
          <w:p>
            <w:pPr>
              <w:jc w:val="center"/>
              <w:rPr>
                <w:rFonts w:hint="default" w:ascii="Times New Roman" w:hAnsi="Times New Roman" w:eastAsia="宋体" w:cs="Times New Roman"/>
                <w:b w:val="0"/>
                <w:bCs w:val="0"/>
                <w:sz w:val="24"/>
                <w:szCs w:val="21"/>
              </w:rPr>
            </w:pPr>
            <w:r>
              <w:rPr>
                <w:rFonts w:hint="default" w:ascii="Times New Roman" w:hAnsi="Times New Roman" w:eastAsia="宋体" w:cs="Times New Roman"/>
                <w:b w:val="0"/>
                <w:bCs w:val="0"/>
                <w:sz w:val="24"/>
              </w:rPr>
              <w:t>理论讲授/案例研讨/</w:t>
            </w:r>
          </w:p>
        </w:tc>
        <w:tc>
          <w:tcPr>
            <w:tcW w:w="715" w:type="dxa"/>
            <w:vAlign w:val="center"/>
          </w:tcPr>
          <w:p>
            <w:pPr>
              <w:jc w:val="center"/>
              <w:rPr>
                <w:rFonts w:hint="default" w:ascii="Times New Roman" w:hAnsi="Times New Roman" w:eastAsia="宋体" w:cs="Times New Roman"/>
                <w:b w:val="0"/>
                <w:bCs w:val="0"/>
                <w:sz w:val="24"/>
                <w:szCs w:val="21"/>
                <w:lang w:eastAsia="zh-CN"/>
              </w:rPr>
            </w:pPr>
            <w:r>
              <w:rPr>
                <w:rFonts w:hint="default" w:ascii="Times New Roman" w:hAnsi="Times New Roman" w:eastAsia="宋体" w:cs="Times New Roman"/>
                <w:b w:val="0"/>
                <w:bCs w:val="0"/>
                <w:sz w:val="24"/>
                <w:szCs w:val="21"/>
                <w:lang w:val="en-US" w:eastAsia="zh-CN"/>
              </w:rPr>
              <w:t>1</w:t>
            </w:r>
          </w:p>
        </w:tc>
        <w:tc>
          <w:tcPr>
            <w:tcW w:w="1553" w:type="dxa"/>
            <w:vAlign w:val="center"/>
          </w:tcPr>
          <w:p>
            <w:pPr>
              <w:jc w:val="center"/>
              <w:rPr>
                <w:rFonts w:hint="default" w:ascii="Times New Roman" w:hAnsi="Times New Roman" w:eastAsia="宋体" w:cs="Times New Roman"/>
                <w:b w:val="0"/>
                <w:bCs w:val="0"/>
                <w:sz w:val="24"/>
                <w:szCs w:val="21"/>
              </w:rPr>
            </w:pPr>
            <w:r>
              <w:rPr>
                <w:rFonts w:hint="default" w:ascii="Times New Roman" w:hAnsi="Times New Roman" w:eastAsia="宋体" w:cs="Times New Roman"/>
                <w:b w:val="0"/>
                <w:bCs w:val="0"/>
                <w:sz w:val="24"/>
              </w:rPr>
              <w:t>文献阅读</w:t>
            </w:r>
          </w:p>
        </w:tc>
        <w:tc>
          <w:tcPr>
            <w:tcW w:w="1417" w:type="dxa"/>
            <w:vAlign w:val="center"/>
          </w:tcPr>
          <w:p>
            <w:pPr>
              <w:jc w:val="center"/>
              <w:rPr>
                <w:rFonts w:hint="default" w:ascii="Times New Roman" w:hAnsi="Times New Roman" w:eastAsia="宋体" w:cs="Times New Roman"/>
                <w:b w:val="0"/>
                <w:bCs w:val="0"/>
                <w:sz w:val="24"/>
                <w:szCs w:val="21"/>
              </w:rPr>
            </w:pPr>
            <w:r>
              <w:rPr>
                <w:rFonts w:hint="default" w:ascii="Times New Roman" w:hAnsi="Times New Roman" w:eastAsia="宋体" w:cs="Times New Roman"/>
                <w:b w:val="0"/>
                <w:bCs w:val="0"/>
                <w:sz w:val="24"/>
                <w:szCs w:val="21"/>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pPr>
              <w:jc w:val="center"/>
              <w:rPr>
                <w:rFonts w:hint="eastAsia" w:eastAsia="黑体"/>
                <w:sz w:val="24"/>
                <w:lang w:eastAsia="zh-CN"/>
              </w:rPr>
            </w:pPr>
            <w:r>
              <w:rPr>
                <w:rFonts w:hint="eastAsia" w:eastAsia="黑体"/>
                <w:sz w:val="24"/>
                <w:lang w:val="en-US" w:eastAsia="zh-CN"/>
              </w:rPr>
              <w:t>2</w:t>
            </w:r>
          </w:p>
        </w:tc>
        <w:tc>
          <w:tcPr>
            <w:tcW w:w="850" w:type="dxa"/>
            <w:vAlign w:val="center"/>
          </w:tcPr>
          <w:p>
            <w:pPr>
              <w:jc w:val="center"/>
              <w:rPr>
                <w:rFonts w:hint="default" w:ascii="Times New Roman" w:hAnsi="Times New Roman" w:eastAsia="宋体" w:cs="Times New Roman"/>
                <w:b w:val="0"/>
                <w:bCs w:val="0"/>
                <w:sz w:val="24"/>
                <w:lang w:val="en-US" w:eastAsia="zh-CN"/>
              </w:rPr>
            </w:pPr>
            <w:r>
              <w:rPr>
                <w:rFonts w:hint="default" w:ascii="Times New Roman" w:hAnsi="Times New Roman" w:eastAsia="宋体" w:cs="Times New Roman"/>
                <w:b w:val="0"/>
                <w:bCs w:val="0"/>
                <w:sz w:val="24"/>
                <w:lang w:val="en-US" w:eastAsia="zh-CN"/>
              </w:rPr>
              <w:t>6</w:t>
            </w:r>
          </w:p>
        </w:tc>
        <w:tc>
          <w:tcPr>
            <w:tcW w:w="3119" w:type="dxa"/>
            <w:vAlign w:val="center"/>
          </w:tcPr>
          <w:p>
            <w:pPr>
              <w:jc w:val="center"/>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理论讲授/案例研讨/</w:t>
            </w:r>
          </w:p>
        </w:tc>
        <w:tc>
          <w:tcPr>
            <w:tcW w:w="715" w:type="dxa"/>
            <w:vAlign w:val="center"/>
          </w:tcPr>
          <w:p>
            <w:pPr>
              <w:jc w:val="center"/>
              <w:rPr>
                <w:rFonts w:hint="default" w:ascii="Times New Roman" w:hAnsi="Times New Roman" w:eastAsia="宋体" w:cs="Times New Roman"/>
                <w:b w:val="0"/>
                <w:bCs w:val="0"/>
                <w:sz w:val="24"/>
                <w:lang w:val="en-US" w:eastAsia="zh-CN"/>
              </w:rPr>
            </w:pPr>
            <w:r>
              <w:rPr>
                <w:rFonts w:hint="default" w:ascii="Times New Roman" w:hAnsi="Times New Roman" w:eastAsia="宋体" w:cs="Times New Roman"/>
                <w:b w:val="0"/>
                <w:bCs w:val="0"/>
                <w:sz w:val="24"/>
                <w:lang w:val="en-US" w:eastAsia="zh-CN"/>
              </w:rPr>
              <w:t>2</w:t>
            </w:r>
          </w:p>
        </w:tc>
        <w:tc>
          <w:tcPr>
            <w:tcW w:w="1553" w:type="dxa"/>
            <w:vAlign w:val="center"/>
          </w:tcPr>
          <w:p>
            <w:pPr>
              <w:jc w:val="center"/>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文献阅读</w:t>
            </w:r>
          </w:p>
        </w:tc>
        <w:tc>
          <w:tcPr>
            <w:tcW w:w="1417" w:type="dxa"/>
            <w:vAlign w:val="center"/>
          </w:tcPr>
          <w:p>
            <w:pPr>
              <w:jc w:val="center"/>
              <w:rPr>
                <w:rFonts w:hint="default" w:ascii="Times New Roman" w:hAnsi="Times New Roman" w:eastAsia="宋体" w:cs="Times New Roman"/>
                <w:b w:val="0"/>
                <w:bCs w:val="0"/>
                <w:sz w:val="24"/>
              </w:rPr>
            </w:pPr>
            <w:r>
              <w:rPr>
                <w:rFonts w:hint="default" w:ascii="Times New Roman" w:hAnsi="Times New Roman" w:eastAsia="宋体" w:cs="Times New Roman"/>
                <w:b w:val="0"/>
                <w:bCs w:val="0"/>
                <w:kern w:val="0"/>
                <w:sz w:val="24"/>
                <w:szCs w:val="24"/>
              </w:rPr>
              <w:t>目标2，3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pPr>
              <w:jc w:val="center"/>
              <w:rPr>
                <w:rFonts w:hint="eastAsia" w:eastAsia="黑体"/>
                <w:sz w:val="24"/>
                <w:lang w:val="en-US" w:eastAsia="zh-CN"/>
              </w:rPr>
            </w:pPr>
            <w:r>
              <w:rPr>
                <w:rFonts w:hint="eastAsia" w:eastAsia="黑体"/>
                <w:sz w:val="24"/>
                <w:lang w:val="en-US" w:eastAsia="zh-CN"/>
              </w:rPr>
              <w:t>3</w:t>
            </w:r>
          </w:p>
        </w:tc>
        <w:tc>
          <w:tcPr>
            <w:tcW w:w="850" w:type="dxa"/>
            <w:vAlign w:val="center"/>
          </w:tcPr>
          <w:p>
            <w:pPr>
              <w:jc w:val="center"/>
              <w:rPr>
                <w:rFonts w:hint="default" w:ascii="Times New Roman" w:hAnsi="Times New Roman" w:eastAsia="宋体" w:cs="Times New Roman"/>
                <w:b w:val="0"/>
                <w:bCs w:val="0"/>
                <w:sz w:val="24"/>
                <w:lang w:val="en-US" w:eastAsia="zh-CN"/>
              </w:rPr>
            </w:pPr>
            <w:r>
              <w:rPr>
                <w:rFonts w:hint="default" w:ascii="Times New Roman" w:hAnsi="Times New Roman" w:eastAsia="宋体" w:cs="Times New Roman"/>
                <w:b w:val="0"/>
                <w:bCs w:val="0"/>
                <w:sz w:val="24"/>
                <w:lang w:val="en-US" w:eastAsia="zh-CN"/>
              </w:rPr>
              <w:t>6</w:t>
            </w:r>
          </w:p>
        </w:tc>
        <w:tc>
          <w:tcPr>
            <w:tcW w:w="3119" w:type="dxa"/>
            <w:vAlign w:val="center"/>
          </w:tcPr>
          <w:p>
            <w:pPr>
              <w:jc w:val="center"/>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理论讲授/案例研讨/</w:t>
            </w:r>
          </w:p>
        </w:tc>
        <w:tc>
          <w:tcPr>
            <w:tcW w:w="715" w:type="dxa"/>
            <w:vAlign w:val="center"/>
          </w:tcPr>
          <w:p>
            <w:pPr>
              <w:jc w:val="center"/>
              <w:rPr>
                <w:rFonts w:hint="default" w:ascii="Times New Roman" w:hAnsi="Times New Roman" w:eastAsia="宋体" w:cs="Times New Roman"/>
                <w:b w:val="0"/>
                <w:bCs w:val="0"/>
                <w:sz w:val="24"/>
                <w:lang w:val="en-US" w:eastAsia="zh-CN"/>
              </w:rPr>
            </w:pPr>
            <w:r>
              <w:rPr>
                <w:rFonts w:hint="default" w:ascii="Times New Roman" w:hAnsi="Times New Roman" w:eastAsia="宋体" w:cs="Times New Roman"/>
                <w:b w:val="0"/>
                <w:bCs w:val="0"/>
                <w:sz w:val="24"/>
                <w:lang w:val="en-US" w:eastAsia="zh-CN"/>
              </w:rPr>
              <w:t>2</w:t>
            </w:r>
          </w:p>
        </w:tc>
        <w:tc>
          <w:tcPr>
            <w:tcW w:w="1553" w:type="dxa"/>
            <w:vAlign w:val="center"/>
          </w:tcPr>
          <w:p>
            <w:pPr>
              <w:jc w:val="center"/>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文献阅读</w:t>
            </w:r>
          </w:p>
        </w:tc>
        <w:tc>
          <w:tcPr>
            <w:tcW w:w="1417" w:type="dxa"/>
            <w:vAlign w:val="center"/>
          </w:tcPr>
          <w:p>
            <w:pPr>
              <w:jc w:val="center"/>
              <w:rPr>
                <w:rFonts w:hint="default" w:ascii="Times New Roman" w:hAnsi="Times New Roman" w:eastAsia="宋体" w:cs="Times New Roman"/>
                <w:b w:val="0"/>
                <w:bCs w:val="0"/>
                <w:sz w:val="24"/>
              </w:rPr>
            </w:pPr>
            <w:r>
              <w:rPr>
                <w:rFonts w:hint="default" w:ascii="Times New Roman" w:hAnsi="Times New Roman" w:eastAsia="宋体" w:cs="Times New Roman"/>
                <w:b w:val="0"/>
                <w:bCs w:val="0"/>
                <w:kern w:val="0"/>
                <w:sz w:val="24"/>
                <w:szCs w:val="24"/>
              </w:rPr>
              <w:t>目标2，3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pPr>
              <w:jc w:val="center"/>
              <w:rPr>
                <w:rFonts w:hint="eastAsia" w:eastAsia="黑体"/>
                <w:sz w:val="24"/>
                <w:lang w:val="en-US" w:eastAsia="zh-CN"/>
              </w:rPr>
            </w:pPr>
            <w:r>
              <w:rPr>
                <w:rFonts w:hint="eastAsia" w:eastAsia="黑体"/>
                <w:sz w:val="24"/>
                <w:lang w:val="en-US" w:eastAsia="zh-CN"/>
              </w:rPr>
              <w:t>4</w:t>
            </w:r>
          </w:p>
        </w:tc>
        <w:tc>
          <w:tcPr>
            <w:tcW w:w="850" w:type="dxa"/>
            <w:vAlign w:val="center"/>
          </w:tcPr>
          <w:p>
            <w:pPr>
              <w:jc w:val="center"/>
              <w:rPr>
                <w:rFonts w:hint="default" w:ascii="Times New Roman" w:hAnsi="Times New Roman" w:eastAsia="宋体" w:cs="Times New Roman"/>
                <w:b w:val="0"/>
                <w:bCs w:val="0"/>
                <w:sz w:val="24"/>
                <w:lang w:val="en-US" w:eastAsia="zh-CN"/>
              </w:rPr>
            </w:pPr>
            <w:r>
              <w:rPr>
                <w:rFonts w:hint="default" w:ascii="Times New Roman" w:hAnsi="Times New Roman" w:eastAsia="宋体" w:cs="Times New Roman"/>
                <w:b w:val="0"/>
                <w:bCs w:val="0"/>
                <w:sz w:val="24"/>
                <w:lang w:val="en-US" w:eastAsia="zh-CN"/>
              </w:rPr>
              <w:t>2</w:t>
            </w:r>
          </w:p>
        </w:tc>
        <w:tc>
          <w:tcPr>
            <w:tcW w:w="3119" w:type="dxa"/>
            <w:vAlign w:val="center"/>
          </w:tcPr>
          <w:p>
            <w:pPr>
              <w:jc w:val="center"/>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理论讲授/案例研讨/</w:t>
            </w:r>
          </w:p>
        </w:tc>
        <w:tc>
          <w:tcPr>
            <w:tcW w:w="715" w:type="dxa"/>
            <w:vAlign w:val="center"/>
          </w:tcPr>
          <w:p>
            <w:pPr>
              <w:jc w:val="center"/>
              <w:rPr>
                <w:rFonts w:hint="default" w:ascii="Times New Roman" w:hAnsi="Times New Roman" w:eastAsia="宋体" w:cs="Times New Roman"/>
                <w:b w:val="0"/>
                <w:bCs w:val="0"/>
                <w:sz w:val="24"/>
                <w:lang w:val="en-US" w:eastAsia="zh-CN"/>
              </w:rPr>
            </w:pPr>
            <w:r>
              <w:rPr>
                <w:rFonts w:hint="default" w:ascii="Times New Roman" w:hAnsi="Times New Roman" w:eastAsia="宋体" w:cs="Times New Roman"/>
                <w:b w:val="0"/>
                <w:bCs w:val="0"/>
                <w:sz w:val="24"/>
                <w:lang w:val="en-US" w:eastAsia="zh-CN"/>
              </w:rPr>
              <w:t>1</w:t>
            </w:r>
          </w:p>
        </w:tc>
        <w:tc>
          <w:tcPr>
            <w:tcW w:w="1553" w:type="dxa"/>
            <w:vAlign w:val="center"/>
          </w:tcPr>
          <w:p>
            <w:pPr>
              <w:jc w:val="center"/>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案例分析</w:t>
            </w:r>
          </w:p>
        </w:tc>
        <w:tc>
          <w:tcPr>
            <w:tcW w:w="1417" w:type="dxa"/>
            <w:vAlign w:val="center"/>
          </w:tcPr>
          <w:p>
            <w:pPr>
              <w:jc w:val="center"/>
              <w:rPr>
                <w:rFonts w:hint="default" w:ascii="Times New Roman" w:hAnsi="Times New Roman" w:eastAsia="宋体" w:cs="Times New Roman"/>
                <w:b w:val="0"/>
                <w:bCs w:val="0"/>
                <w:sz w:val="24"/>
              </w:rPr>
            </w:pPr>
            <w:r>
              <w:rPr>
                <w:rFonts w:hint="default" w:ascii="Times New Roman" w:hAnsi="Times New Roman" w:eastAsia="宋体" w:cs="Times New Roman"/>
                <w:b w:val="0"/>
                <w:bCs w:val="0"/>
                <w:kern w:val="0"/>
                <w:sz w:val="24"/>
                <w:szCs w:val="24"/>
              </w:rPr>
              <w:t>目标1，3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jc w:val="center"/>
              <w:rPr>
                <w:rFonts w:hint="eastAsia" w:eastAsia="黑体"/>
                <w:sz w:val="24"/>
                <w:lang w:eastAsia="zh-CN"/>
              </w:rPr>
            </w:pPr>
            <w:r>
              <w:rPr>
                <w:rFonts w:hint="eastAsia" w:eastAsia="黑体"/>
                <w:sz w:val="24"/>
                <w:lang w:val="en-US" w:eastAsia="zh-CN"/>
              </w:rPr>
              <w:t>5</w:t>
            </w:r>
          </w:p>
        </w:tc>
        <w:tc>
          <w:tcPr>
            <w:tcW w:w="850" w:type="dxa"/>
            <w:vAlign w:val="center"/>
          </w:tcPr>
          <w:p>
            <w:pPr>
              <w:jc w:val="center"/>
              <w:rPr>
                <w:rFonts w:hint="default" w:ascii="Times New Roman" w:hAnsi="Times New Roman" w:eastAsia="宋体" w:cs="Times New Roman"/>
                <w:b w:val="0"/>
                <w:bCs w:val="0"/>
                <w:sz w:val="24"/>
                <w:lang w:eastAsia="zh-CN"/>
              </w:rPr>
            </w:pPr>
            <w:r>
              <w:rPr>
                <w:rFonts w:hint="default" w:ascii="Times New Roman" w:hAnsi="Times New Roman" w:eastAsia="宋体" w:cs="Times New Roman"/>
                <w:b w:val="0"/>
                <w:bCs w:val="0"/>
                <w:sz w:val="24"/>
                <w:lang w:val="en-US" w:eastAsia="zh-CN"/>
              </w:rPr>
              <w:t>6</w:t>
            </w:r>
          </w:p>
        </w:tc>
        <w:tc>
          <w:tcPr>
            <w:tcW w:w="3119" w:type="dxa"/>
            <w:vAlign w:val="center"/>
          </w:tcPr>
          <w:p>
            <w:pPr>
              <w:jc w:val="center"/>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理论讲授/案例研讨/</w:t>
            </w:r>
          </w:p>
        </w:tc>
        <w:tc>
          <w:tcPr>
            <w:tcW w:w="715" w:type="dxa"/>
            <w:vAlign w:val="center"/>
          </w:tcPr>
          <w:p>
            <w:pPr>
              <w:jc w:val="center"/>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2</w:t>
            </w:r>
          </w:p>
        </w:tc>
        <w:tc>
          <w:tcPr>
            <w:tcW w:w="1553" w:type="dxa"/>
            <w:vAlign w:val="center"/>
          </w:tcPr>
          <w:p>
            <w:pPr>
              <w:jc w:val="center"/>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专题调研</w:t>
            </w:r>
          </w:p>
        </w:tc>
        <w:tc>
          <w:tcPr>
            <w:tcW w:w="1417" w:type="dxa"/>
            <w:vAlign w:val="center"/>
          </w:tcPr>
          <w:p>
            <w:pPr>
              <w:jc w:val="center"/>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目标</w:t>
            </w:r>
            <w:r>
              <w:rPr>
                <w:rFonts w:hint="default" w:ascii="Times New Roman" w:hAnsi="Times New Roman" w:eastAsia="宋体" w:cs="Times New Roman"/>
                <w:b w:val="0"/>
                <w:bCs w:val="0"/>
                <w:sz w:val="24"/>
                <w:lang w:val="en-US" w:eastAsia="zh-CN"/>
              </w:rPr>
              <w:t>1，</w:t>
            </w:r>
            <w:r>
              <w:rPr>
                <w:rFonts w:hint="default" w:ascii="Times New Roman" w:hAnsi="Times New Roman" w:eastAsia="宋体" w:cs="Times New Roman"/>
                <w:b w:val="0"/>
                <w:bCs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35" w:type="dxa"/>
            <w:vAlign w:val="center"/>
          </w:tcPr>
          <w:p>
            <w:pPr>
              <w:jc w:val="center"/>
              <w:rPr>
                <w:rFonts w:hint="eastAsia" w:eastAsia="黑体"/>
                <w:sz w:val="24"/>
                <w:lang w:eastAsia="zh-CN"/>
              </w:rPr>
            </w:pPr>
            <w:r>
              <w:rPr>
                <w:rFonts w:hint="eastAsia" w:eastAsia="黑体"/>
                <w:sz w:val="24"/>
                <w:lang w:val="en-US" w:eastAsia="zh-CN"/>
              </w:rPr>
              <w:t>6</w:t>
            </w:r>
          </w:p>
        </w:tc>
        <w:tc>
          <w:tcPr>
            <w:tcW w:w="850" w:type="dxa"/>
            <w:vAlign w:val="center"/>
          </w:tcPr>
          <w:p>
            <w:pPr>
              <w:jc w:val="center"/>
              <w:rPr>
                <w:rFonts w:hint="default" w:ascii="Times New Roman" w:hAnsi="Times New Roman" w:eastAsia="宋体" w:cs="Times New Roman"/>
                <w:b w:val="0"/>
                <w:bCs w:val="0"/>
                <w:sz w:val="24"/>
                <w:lang w:val="en-US" w:eastAsia="zh-CN"/>
              </w:rPr>
            </w:pPr>
            <w:r>
              <w:rPr>
                <w:rFonts w:hint="default" w:ascii="Times New Roman" w:hAnsi="Times New Roman" w:eastAsia="宋体" w:cs="Times New Roman"/>
                <w:b w:val="0"/>
                <w:bCs w:val="0"/>
                <w:sz w:val="24"/>
                <w:lang w:val="en-US" w:eastAsia="zh-CN"/>
              </w:rPr>
              <w:t>4</w:t>
            </w:r>
          </w:p>
        </w:tc>
        <w:tc>
          <w:tcPr>
            <w:tcW w:w="3119" w:type="dxa"/>
            <w:vAlign w:val="center"/>
          </w:tcPr>
          <w:p>
            <w:pPr>
              <w:jc w:val="center"/>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理论讲授/实验实践</w:t>
            </w:r>
          </w:p>
        </w:tc>
        <w:tc>
          <w:tcPr>
            <w:tcW w:w="715" w:type="dxa"/>
            <w:vAlign w:val="center"/>
          </w:tcPr>
          <w:p>
            <w:pPr>
              <w:jc w:val="center"/>
              <w:rPr>
                <w:rFonts w:hint="default" w:ascii="Times New Roman" w:hAnsi="Times New Roman" w:eastAsia="宋体" w:cs="Times New Roman"/>
                <w:b w:val="0"/>
                <w:bCs w:val="0"/>
                <w:sz w:val="24"/>
                <w:lang w:val="en-US" w:eastAsia="zh-CN"/>
              </w:rPr>
            </w:pPr>
            <w:r>
              <w:rPr>
                <w:rFonts w:hint="default" w:ascii="Times New Roman" w:hAnsi="Times New Roman" w:eastAsia="宋体" w:cs="Times New Roman"/>
                <w:b w:val="0"/>
                <w:bCs w:val="0"/>
                <w:sz w:val="24"/>
                <w:lang w:val="en-US" w:eastAsia="zh-CN"/>
              </w:rPr>
              <w:t>2</w:t>
            </w:r>
          </w:p>
        </w:tc>
        <w:tc>
          <w:tcPr>
            <w:tcW w:w="1553" w:type="dxa"/>
            <w:vAlign w:val="center"/>
          </w:tcPr>
          <w:p>
            <w:pPr>
              <w:jc w:val="center"/>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案例分析</w:t>
            </w:r>
          </w:p>
        </w:tc>
        <w:tc>
          <w:tcPr>
            <w:tcW w:w="1417" w:type="dxa"/>
            <w:vAlign w:val="center"/>
          </w:tcPr>
          <w:p>
            <w:pPr>
              <w:jc w:val="center"/>
              <w:rPr>
                <w:rFonts w:hint="default" w:ascii="Times New Roman" w:hAnsi="Times New Roman" w:eastAsia="宋体" w:cs="Times New Roman"/>
                <w:b w:val="0"/>
                <w:bCs w:val="0"/>
                <w:sz w:val="24"/>
              </w:rPr>
            </w:pPr>
            <w:r>
              <w:rPr>
                <w:rFonts w:hint="default" w:ascii="Times New Roman" w:hAnsi="Times New Roman" w:eastAsia="宋体" w:cs="Times New Roman"/>
                <w:b w:val="0"/>
                <w:bCs w:val="0"/>
                <w:kern w:val="0"/>
                <w:sz w:val="24"/>
                <w:szCs w:val="24"/>
              </w:rPr>
              <w:t>目标2，3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35" w:type="dxa"/>
            <w:vAlign w:val="center"/>
          </w:tcPr>
          <w:p>
            <w:pPr>
              <w:jc w:val="center"/>
              <w:rPr>
                <w:rFonts w:hint="default" w:eastAsia="黑体"/>
                <w:sz w:val="24"/>
                <w:lang w:val="en-US" w:eastAsia="zh-CN"/>
              </w:rPr>
            </w:pPr>
            <w:r>
              <w:rPr>
                <w:rFonts w:hint="eastAsia" w:eastAsia="黑体"/>
                <w:sz w:val="24"/>
                <w:lang w:val="en-US" w:eastAsia="zh-CN"/>
              </w:rPr>
              <w:t>7</w:t>
            </w:r>
          </w:p>
        </w:tc>
        <w:tc>
          <w:tcPr>
            <w:tcW w:w="850" w:type="dxa"/>
            <w:vAlign w:val="center"/>
          </w:tcPr>
          <w:p>
            <w:pPr>
              <w:jc w:val="center"/>
              <w:rPr>
                <w:rFonts w:hint="default" w:ascii="Times New Roman" w:hAnsi="Times New Roman" w:eastAsia="宋体" w:cs="Times New Roman"/>
                <w:b w:val="0"/>
                <w:bCs w:val="0"/>
                <w:sz w:val="24"/>
                <w:lang w:val="en-US" w:eastAsia="zh-CN"/>
              </w:rPr>
            </w:pPr>
            <w:r>
              <w:rPr>
                <w:rFonts w:hint="default" w:ascii="Times New Roman" w:hAnsi="Times New Roman" w:eastAsia="宋体" w:cs="Times New Roman"/>
                <w:b w:val="0"/>
                <w:bCs w:val="0"/>
                <w:sz w:val="24"/>
                <w:lang w:val="en-US" w:eastAsia="zh-CN"/>
              </w:rPr>
              <w:t>6</w:t>
            </w:r>
          </w:p>
        </w:tc>
        <w:tc>
          <w:tcPr>
            <w:tcW w:w="3119" w:type="dxa"/>
            <w:vAlign w:val="center"/>
          </w:tcPr>
          <w:p>
            <w:pPr>
              <w:jc w:val="center"/>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实验实践/案例研讨/</w:t>
            </w:r>
          </w:p>
        </w:tc>
        <w:tc>
          <w:tcPr>
            <w:tcW w:w="715" w:type="dxa"/>
            <w:vAlign w:val="center"/>
          </w:tcPr>
          <w:p>
            <w:pPr>
              <w:jc w:val="center"/>
              <w:rPr>
                <w:rFonts w:hint="default" w:ascii="Times New Roman" w:hAnsi="Times New Roman" w:eastAsia="宋体" w:cs="Times New Roman"/>
                <w:b w:val="0"/>
                <w:bCs w:val="0"/>
                <w:sz w:val="24"/>
                <w:lang w:val="en-US" w:eastAsia="zh-CN"/>
              </w:rPr>
            </w:pPr>
            <w:r>
              <w:rPr>
                <w:rFonts w:hint="default" w:ascii="Times New Roman" w:hAnsi="Times New Roman" w:eastAsia="宋体" w:cs="Times New Roman"/>
                <w:b w:val="0"/>
                <w:bCs w:val="0"/>
                <w:sz w:val="24"/>
                <w:lang w:val="en-US" w:eastAsia="zh-CN"/>
              </w:rPr>
              <w:t>4</w:t>
            </w:r>
          </w:p>
        </w:tc>
        <w:tc>
          <w:tcPr>
            <w:tcW w:w="1553" w:type="dxa"/>
            <w:vAlign w:val="center"/>
          </w:tcPr>
          <w:p>
            <w:pPr>
              <w:jc w:val="center"/>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专题调研</w:t>
            </w:r>
          </w:p>
        </w:tc>
        <w:tc>
          <w:tcPr>
            <w:tcW w:w="1417" w:type="dxa"/>
            <w:vAlign w:val="center"/>
          </w:tcPr>
          <w:p>
            <w:pPr>
              <w:jc w:val="center"/>
              <w:rPr>
                <w:rFonts w:hint="default" w:ascii="Times New Roman" w:hAnsi="Times New Roman" w:eastAsia="宋体" w:cs="Times New Roman"/>
                <w:b w:val="0"/>
                <w:bCs w:val="0"/>
                <w:sz w:val="24"/>
              </w:rPr>
            </w:pPr>
            <w:r>
              <w:rPr>
                <w:rFonts w:hint="default" w:ascii="Times New Roman" w:hAnsi="Times New Roman" w:eastAsia="宋体" w:cs="Times New Roman"/>
                <w:b w:val="0"/>
                <w:bCs w:val="0"/>
                <w:kern w:val="0"/>
                <w:sz w:val="24"/>
                <w:szCs w:val="24"/>
              </w:rPr>
              <w:t>目标1，2，3</w:t>
            </w:r>
          </w:p>
        </w:tc>
      </w:tr>
    </w:tbl>
    <w:p>
      <w:pPr>
        <w:spacing w:line="300" w:lineRule="auto"/>
        <w:rPr>
          <w:rFonts w:eastAsia="黑体"/>
          <w:sz w:val="28"/>
          <w:szCs w:val="28"/>
        </w:rPr>
      </w:pPr>
      <w:r>
        <w:rPr>
          <w:rFonts w:hint="eastAsia" w:eastAsia="黑体"/>
          <w:sz w:val="28"/>
          <w:szCs w:val="28"/>
        </w:rPr>
        <w:t>四、考核内容、方式及评分标准</w:t>
      </w:r>
    </w:p>
    <w:p>
      <w:pPr>
        <w:spacing w:line="300" w:lineRule="auto"/>
        <w:rPr>
          <w:rFonts w:eastAsia="黑体"/>
          <w:sz w:val="24"/>
          <w:szCs w:val="24"/>
        </w:rPr>
      </w:pPr>
      <w:r>
        <w:rPr>
          <w:rFonts w:hint="eastAsia" w:eastAsia="黑体"/>
          <w:sz w:val="24"/>
          <w:szCs w:val="24"/>
        </w:rPr>
        <w:t>（一）考核环节</w:t>
      </w:r>
    </w:p>
    <w:tbl>
      <w:tblPr>
        <w:tblStyle w:val="8"/>
        <w:tblW w:w="893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4678"/>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8" w:type="dxa"/>
            <w:gridSpan w:val="2"/>
            <w:vAlign w:val="center"/>
          </w:tcPr>
          <w:p>
            <w:pPr>
              <w:jc w:val="center"/>
              <w:rPr>
                <w:rFonts w:eastAsia="黑体"/>
                <w:sz w:val="24"/>
              </w:rPr>
            </w:pPr>
            <w:r>
              <w:rPr>
                <w:rFonts w:hint="eastAsia" w:eastAsia="黑体"/>
                <w:sz w:val="24"/>
              </w:rPr>
              <w:t>考核环节</w:t>
            </w:r>
          </w:p>
        </w:tc>
        <w:tc>
          <w:tcPr>
            <w:tcW w:w="1134" w:type="dxa"/>
            <w:vAlign w:val="center"/>
          </w:tcPr>
          <w:p>
            <w:pPr>
              <w:jc w:val="center"/>
              <w:rPr>
                <w:rFonts w:eastAsia="黑体"/>
                <w:sz w:val="24"/>
              </w:rPr>
            </w:pPr>
            <w:r>
              <w:rPr>
                <w:rFonts w:hint="eastAsia" w:eastAsia="黑体"/>
                <w:sz w:val="24"/>
              </w:rPr>
              <w:t>总成绩</w:t>
            </w:r>
          </w:p>
          <w:p>
            <w:pPr>
              <w:jc w:val="center"/>
              <w:rPr>
                <w:rFonts w:eastAsia="黑体"/>
                <w:sz w:val="24"/>
              </w:rPr>
            </w:pPr>
            <w:r>
              <w:rPr>
                <w:rFonts w:hint="eastAsia" w:eastAsia="黑体"/>
                <w:sz w:val="24"/>
              </w:rPr>
              <w:t>占比</w:t>
            </w:r>
          </w:p>
        </w:tc>
        <w:tc>
          <w:tcPr>
            <w:tcW w:w="1559" w:type="dxa"/>
            <w:vAlign w:val="center"/>
          </w:tcPr>
          <w:p>
            <w:pPr>
              <w:jc w:val="center"/>
              <w:rPr>
                <w:rFonts w:eastAsia="黑体"/>
                <w:sz w:val="24"/>
              </w:rPr>
            </w:pPr>
            <w:r>
              <w:rPr>
                <w:rFonts w:hint="eastAsia" w:eastAsia="黑体"/>
                <w:sz w:val="24"/>
              </w:rPr>
              <w:t>支撑</w:t>
            </w:r>
          </w:p>
          <w:p>
            <w:pPr>
              <w:jc w:val="center"/>
              <w:rPr>
                <w:rFonts w:eastAsia="黑体"/>
                <w:sz w:val="24"/>
              </w:rPr>
            </w:pPr>
            <w:r>
              <w:rPr>
                <w:rFonts w:hint="eastAsia" w:eastAsia="黑体"/>
                <w:sz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平时作业</w:t>
            </w:r>
          </w:p>
        </w:tc>
        <w:tc>
          <w:tcPr>
            <w:tcW w:w="4678" w:type="dxa"/>
            <w:vAlign w:val="center"/>
          </w:tcPr>
          <w:p>
            <w:pPr>
              <w:spacing w:line="30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1．共布置若干道题目，平均每周1道题。</w:t>
            </w:r>
          </w:p>
          <w:p>
            <w:pPr>
              <w:spacing w:line="30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2．成绩采用百分制，根据作业完成准确性、是否按时上交、是否独立完成评分。</w:t>
            </w:r>
          </w:p>
          <w:p>
            <w:pPr>
              <w:spacing w:line="30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3．考核学生对基本知识的掌握能力，综合运用所学知识分析问题、解决问题的能力，题型调研报告、案例分析报告等。</w:t>
            </w:r>
          </w:p>
        </w:tc>
        <w:tc>
          <w:tcPr>
            <w:tcW w:w="1134" w:type="dxa"/>
            <w:vAlign w:val="center"/>
          </w:tcPr>
          <w:p>
            <w:pPr>
              <w:spacing w:line="30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15</w:t>
            </w:r>
            <w:r>
              <w:rPr>
                <w:rFonts w:hint="eastAsia" w:asciiTheme="minorEastAsia" w:hAnsiTheme="minorEastAsia" w:eastAsiaTheme="minorEastAsia"/>
                <w:sz w:val="24"/>
                <w:szCs w:val="24"/>
              </w:rPr>
              <w:t>%</w:t>
            </w:r>
          </w:p>
        </w:tc>
        <w:tc>
          <w:tcPr>
            <w:tcW w:w="1559" w:type="dxa"/>
            <w:vAlign w:val="center"/>
          </w:tcPr>
          <w:p>
            <w:pPr>
              <w:spacing w:line="30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目标1</w:t>
            </w:r>
            <w:r>
              <w:rPr>
                <w:rFonts w:hint="eastAsia" w:asciiTheme="minorEastAsia" w:hAnsiTheme="minorEastAsia" w:eastAsiaTheme="minorEastAsia"/>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课堂表现</w:t>
            </w:r>
          </w:p>
        </w:tc>
        <w:tc>
          <w:tcPr>
            <w:tcW w:w="4678" w:type="dxa"/>
            <w:vAlign w:val="center"/>
          </w:tcPr>
          <w:p>
            <w:pPr>
              <w:spacing w:line="30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1．本课程要求每个学生有</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次课堂报告（专题报告/案例分析报告）。</w:t>
            </w:r>
          </w:p>
          <w:p>
            <w:pPr>
              <w:spacing w:line="30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2．成绩采用百分制，主要根据PPT准备、讲述表现、综合应用知识分析问题解决问题的能力、创新性等评分。</w:t>
            </w:r>
          </w:p>
        </w:tc>
        <w:tc>
          <w:tcPr>
            <w:tcW w:w="1134" w:type="dxa"/>
            <w:vAlign w:val="center"/>
          </w:tcPr>
          <w:p>
            <w:pPr>
              <w:spacing w:line="30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15</w:t>
            </w:r>
            <w:r>
              <w:rPr>
                <w:rFonts w:hint="eastAsia" w:asciiTheme="minorEastAsia" w:hAnsiTheme="minorEastAsia" w:eastAsiaTheme="minorEastAsia"/>
                <w:sz w:val="24"/>
                <w:szCs w:val="24"/>
              </w:rPr>
              <w:t>%</w:t>
            </w:r>
          </w:p>
        </w:tc>
        <w:tc>
          <w:tcPr>
            <w:tcW w:w="1559" w:type="dxa"/>
            <w:vAlign w:val="center"/>
          </w:tcPr>
          <w:p>
            <w:pPr>
              <w:spacing w:line="30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目标2</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大作业</w:t>
            </w:r>
          </w:p>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课程报告</w:t>
            </w:r>
          </w:p>
        </w:tc>
        <w:tc>
          <w:tcPr>
            <w:tcW w:w="4678" w:type="dxa"/>
            <w:vAlign w:val="center"/>
          </w:tcPr>
          <w:p>
            <w:pPr>
              <w:spacing w:line="30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课下调研、形成报告</w:t>
            </w:r>
            <w:r>
              <w:rPr>
                <w:rFonts w:hint="eastAsia" w:asciiTheme="minorEastAsia" w:hAnsiTheme="minorEastAsia" w:eastAsiaTheme="minorEastAsia"/>
                <w:sz w:val="24"/>
                <w:szCs w:val="24"/>
              </w:rPr>
              <w:t>，成绩采用百分制，卷面成绩总分100分。</w:t>
            </w:r>
          </w:p>
          <w:p>
            <w:pPr>
              <w:spacing w:line="30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2．主要考核学生综合运用所学知识分析问题、解决问题的能力，</w:t>
            </w:r>
            <w:r>
              <w:rPr>
                <w:rFonts w:hint="eastAsia" w:asciiTheme="minorEastAsia" w:hAnsiTheme="minorEastAsia" w:eastAsiaTheme="minorEastAsia"/>
                <w:sz w:val="24"/>
                <w:szCs w:val="24"/>
                <w:lang w:val="en-US" w:eastAsia="zh-CN"/>
              </w:rPr>
              <w:t>采取PPT汇报+书面文件提交</w:t>
            </w:r>
            <w:r>
              <w:rPr>
                <w:rFonts w:hint="eastAsia" w:asciiTheme="minorEastAsia" w:hAnsiTheme="minorEastAsia" w:eastAsiaTheme="minorEastAsia"/>
                <w:sz w:val="24"/>
                <w:szCs w:val="24"/>
              </w:rPr>
              <w:t>。</w:t>
            </w:r>
          </w:p>
        </w:tc>
        <w:tc>
          <w:tcPr>
            <w:tcW w:w="1134" w:type="dxa"/>
            <w:vAlign w:val="center"/>
          </w:tcPr>
          <w:p>
            <w:pPr>
              <w:spacing w:line="30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0%</w:t>
            </w:r>
          </w:p>
        </w:tc>
        <w:tc>
          <w:tcPr>
            <w:tcW w:w="1559" w:type="dxa"/>
            <w:vAlign w:val="center"/>
          </w:tcPr>
          <w:p>
            <w:pPr>
              <w:spacing w:line="30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目标1-</w:t>
            </w:r>
            <w:r>
              <w:rPr>
                <w:rFonts w:hint="eastAsia" w:asciiTheme="minorEastAsia" w:hAnsiTheme="minorEastAsia" w:eastAsiaTheme="minorEastAsia"/>
                <w:sz w:val="24"/>
                <w:szCs w:val="24"/>
                <w:lang w:val="en-US" w:eastAsia="zh-CN"/>
              </w:rPr>
              <w:t>3</w:t>
            </w:r>
          </w:p>
        </w:tc>
      </w:tr>
    </w:tbl>
    <w:p>
      <w:pPr>
        <w:spacing w:line="300" w:lineRule="auto"/>
        <w:rPr>
          <w:rFonts w:eastAsia="黑体"/>
          <w:sz w:val="24"/>
          <w:szCs w:val="24"/>
        </w:rPr>
      </w:pPr>
      <w:r>
        <w:rPr>
          <w:rFonts w:hint="eastAsia" w:eastAsia="黑体"/>
          <w:sz w:val="24"/>
          <w:szCs w:val="24"/>
        </w:rPr>
        <w:t>（二）评分标准</w:t>
      </w:r>
    </w:p>
    <w:tbl>
      <w:tblPr>
        <w:tblStyle w:val="8"/>
        <w:tblW w:w="893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0"/>
        <w:gridCol w:w="1738"/>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90" w:type="dxa"/>
            <w:vAlign w:val="center"/>
          </w:tcPr>
          <w:p>
            <w:pPr>
              <w:jc w:val="center"/>
              <w:rPr>
                <w:rFonts w:ascii="黑体" w:hAnsi="黑体" w:eastAsia="黑体"/>
                <w:sz w:val="24"/>
              </w:rPr>
            </w:pPr>
            <w:r>
              <w:rPr>
                <w:rFonts w:hint="eastAsia" w:ascii="黑体" w:hAnsi="黑体" w:eastAsia="黑体"/>
                <w:sz w:val="24"/>
              </w:rPr>
              <w:t>考核</w:t>
            </w:r>
            <w:r>
              <w:rPr>
                <w:rFonts w:hint="eastAsia" w:eastAsia="黑体"/>
                <w:sz w:val="24"/>
              </w:rPr>
              <w:t>环节</w:t>
            </w:r>
          </w:p>
        </w:tc>
        <w:tc>
          <w:tcPr>
            <w:tcW w:w="1738" w:type="dxa"/>
            <w:vAlign w:val="center"/>
          </w:tcPr>
          <w:p>
            <w:pPr>
              <w:jc w:val="center"/>
              <w:rPr>
                <w:rFonts w:ascii="黑体" w:hAnsi="黑体" w:eastAsia="黑体"/>
                <w:sz w:val="24"/>
              </w:rPr>
            </w:pPr>
            <w:r>
              <w:rPr>
                <w:rFonts w:hint="eastAsia" w:ascii="黑体" w:hAnsi="黑体" w:eastAsia="黑体"/>
                <w:sz w:val="24"/>
              </w:rPr>
              <w:t>&lt;60</w:t>
            </w:r>
          </w:p>
        </w:tc>
        <w:tc>
          <w:tcPr>
            <w:tcW w:w="1701" w:type="dxa"/>
            <w:vAlign w:val="center"/>
          </w:tcPr>
          <w:p>
            <w:pPr>
              <w:jc w:val="center"/>
              <w:rPr>
                <w:rFonts w:ascii="黑体" w:hAnsi="黑体" w:eastAsia="黑体"/>
                <w:sz w:val="24"/>
              </w:rPr>
            </w:pPr>
            <w:r>
              <w:rPr>
                <w:rFonts w:hint="eastAsia" w:ascii="黑体" w:hAnsi="黑体" w:eastAsia="黑体"/>
                <w:sz w:val="24"/>
              </w:rPr>
              <w:t>60</w:t>
            </w:r>
            <w:r>
              <w:rPr>
                <w:rFonts w:ascii="黑体" w:hAnsi="黑体" w:eastAsia="黑体"/>
                <w:sz w:val="24"/>
              </w:rPr>
              <w:t>-</w:t>
            </w:r>
            <w:r>
              <w:rPr>
                <w:rFonts w:hint="eastAsia" w:ascii="黑体" w:hAnsi="黑体" w:eastAsia="黑体"/>
                <w:sz w:val="24"/>
              </w:rPr>
              <w:t>75</w:t>
            </w:r>
          </w:p>
        </w:tc>
        <w:tc>
          <w:tcPr>
            <w:tcW w:w="1701" w:type="dxa"/>
            <w:vAlign w:val="center"/>
          </w:tcPr>
          <w:p>
            <w:pPr>
              <w:jc w:val="center"/>
              <w:rPr>
                <w:rFonts w:ascii="黑体" w:hAnsi="黑体" w:eastAsia="黑体"/>
                <w:sz w:val="24"/>
              </w:rPr>
            </w:pPr>
            <w:r>
              <w:rPr>
                <w:rFonts w:hint="eastAsia" w:ascii="黑体" w:hAnsi="黑体" w:eastAsia="黑体"/>
                <w:sz w:val="24"/>
              </w:rPr>
              <w:t>75</w:t>
            </w:r>
            <w:r>
              <w:rPr>
                <w:rFonts w:ascii="黑体" w:hAnsi="黑体" w:eastAsia="黑体"/>
                <w:sz w:val="24"/>
              </w:rPr>
              <w:t>-</w:t>
            </w:r>
            <w:r>
              <w:rPr>
                <w:rFonts w:hint="eastAsia" w:ascii="黑体" w:hAnsi="黑体" w:eastAsia="黑体"/>
                <w:sz w:val="24"/>
              </w:rPr>
              <w:t>90</w:t>
            </w:r>
          </w:p>
        </w:tc>
        <w:tc>
          <w:tcPr>
            <w:tcW w:w="1701" w:type="dxa"/>
            <w:vAlign w:val="center"/>
          </w:tcPr>
          <w:p>
            <w:pPr>
              <w:jc w:val="center"/>
              <w:rPr>
                <w:rFonts w:ascii="黑体" w:hAnsi="黑体" w:eastAsia="黑体"/>
                <w:sz w:val="24"/>
              </w:rPr>
            </w:pPr>
            <w:r>
              <w:rPr>
                <w:rFonts w:hint="eastAsia" w:ascii="黑体" w:hAnsi="黑体" w:eastAsia="黑体"/>
                <w:sz w:val="24"/>
              </w:rPr>
              <w:t>90</w:t>
            </w:r>
            <w:r>
              <w:rPr>
                <w:rFonts w:ascii="黑体" w:hAnsi="黑体" w:eastAsia="黑体"/>
                <w:sz w:val="24"/>
              </w:rPr>
              <w:t>-</w:t>
            </w:r>
            <w:r>
              <w:rPr>
                <w:rFonts w:hint="eastAsia" w:ascii="黑体" w:hAnsi="黑体" w:eastAsia="黑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09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平时作业</w:t>
            </w:r>
          </w:p>
        </w:tc>
        <w:tc>
          <w:tcPr>
            <w:tcW w:w="1738" w:type="dxa"/>
          </w:tcPr>
          <w:p>
            <w:pPr>
              <w:spacing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期末考试前补交</w:t>
            </w:r>
          </w:p>
        </w:tc>
        <w:tc>
          <w:tcPr>
            <w:tcW w:w="1701" w:type="dxa"/>
          </w:tcPr>
          <w:p>
            <w:pPr>
              <w:spacing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延时一月完成</w:t>
            </w:r>
          </w:p>
        </w:tc>
        <w:tc>
          <w:tcPr>
            <w:tcW w:w="1701" w:type="dxa"/>
          </w:tcPr>
          <w:p>
            <w:pPr>
              <w:spacing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延时一周完成</w:t>
            </w:r>
          </w:p>
        </w:tc>
        <w:tc>
          <w:tcPr>
            <w:tcW w:w="1701" w:type="dxa"/>
          </w:tcPr>
          <w:p>
            <w:pPr>
              <w:spacing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按时完成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09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课堂表现</w:t>
            </w:r>
          </w:p>
        </w:tc>
        <w:tc>
          <w:tcPr>
            <w:tcW w:w="1738" w:type="dxa"/>
          </w:tcPr>
          <w:p>
            <w:pPr>
              <w:adjustRightInd w:val="0"/>
              <w:snapToGrid w:val="0"/>
              <w:spacing w:line="264"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选用正确概念、原理、公式分析问题40%以下</w:t>
            </w:r>
          </w:p>
          <w:p>
            <w:pPr>
              <w:spacing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40%以下的概念清晰</w:t>
            </w:r>
          </w:p>
        </w:tc>
        <w:tc>
          <w:tcPr>
            <w:tcW w:w="1701" w:type="dxa"/>
          </w:tcPr>
          <w:p>
            <w:pPr>
              <w:adjustRightInd w:val="0"/>
              <w:snapToGrid w:val="0"/>
              <w:spacing w:line="264"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选用正确概念、原理、公式分析问题40%以上</w:t>
            </w:r>
          </w:p>
          <w:p>
            <w:pPr>
              <w:spacing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40%以上的概念清晰</w:t>
            </w:r>
          </w:p>
        </w:tc>
        <w:tc>
          <w:tcPr>
            <w:tcW w:w="1701" w:type="dxa"/>
          </w:tcPr>
          <w:p>
            <w:pPr>
              <w:adjustRightInd w:val="0"/>
              <w:snapToGrid w:val="0"/>
              <w:spacing w:line="264"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选用正确概念、原理、公式分析问题60%以上</w:t>
            </w:r>
          </w:p>
          <w:p>
            <w:pPr>
              <w:spacing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60%以上的概念清晰</w:t>
            </w:r>
          </w:p>
        </w:tc>
        <w:tc>
          <w:tcPr>
            <w:tcW w:w="1701" w:type="dxa"/>
          </w:tcPr>
          <w:p>
            <w:pPr>
              <w:adjustRightInd w:val="0"/>
              <w:snapToGrid w:val="0"/>
              <w:spacing w:line="264"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选用正确概念、原理、公式分析问题80%以上</w:t>
            </w:r>
          </w:p>
          <w:p>
            <w:pPr>
              <w:spacing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80%以上的概念清晰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090" w:type="dxa"/>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大作业</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课程报告</w:t>
            </w:r>
          </w:p>
        </w:tc>
        <w:tc>
          <w:tcPr>
            <w:tcW w:w="1738" w:type="dxa"/>
          </w:tcPr>
          <w:p>
            <w:pPr>
              <w:spacing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调研不全面、不准确、</w:t>
            </w:r>
            <w:r>
              <w:rPr>
                <w:rFonts w:hint="default" w:ascii="Times New Roman" w:hAnsi="Times New Roman" w:eastAsia="宋体" w:cs="Times New Roman"/>
                <w:sz w:val="24"/>
                <w:szCs w:val="24"/>
              </w:rPr>
              <w:t>书写</w:t>
            </w:r>
            <w:r>
              <w:rPr>
                <w:rFonts w:hint="default" w:ascii="Times New Roman" w:hAnsi="Times New Roman" w:eastAsia="宋体" w:cs="Times New Roman"/>
                <w:sz w:val="24"/>
                <w:szCs w:val="24"/>
                <w:lang w:val="en-US" w:eastAsia="zh-CN"/>
              </w:rPr>
              <w:t>不</w:t>
            </w:r>
            <w:r>
              <w:rPr>
                <w:rFonts w:hint="default" w:ascii="Times New Roman" w:hAnsi="Times New Roman" w:eastAsia="宋体" w:cs="Times New Roman"/>
                <w:sz w:val="24"/>
                <w:szCs w:val="24"/>
              </w:rPr>
              <w:t>规范、</w:t>
            </w:r>
            <w:r>
              <w:rPr>
                <w:rFonts w:hint="default" w:ascii="Times New Roman" w:hAnsi="Times New Roman" w:eastAsia="宋体" w:cs="Times New Roman"/>
                <w:sz w:val="24"/>
                <w:szCs w:val="24"/>
                <w:lang w:val="en-US" w:eastAsia="zh-CN"/>
              </w:rPr>
              <w:t>无</w:t>
            </w:r>
            <w:r>
              <w:rPr>
                <w:rFonts w:hint="default" w:ascii="Times New Roman" w:hAnsi="Times New Roman" w:eastAsia="宋体" w:cs="Times New Roman"/>
                <w:sz w:val="24"/>
                <w:szCs w:val="24"/>
              </w:rPr>
              <w:t>条理、</w:t>
            </w:r>
            <w:r>
              <w:rPr>
                <w:rFonts w:hint="default" w:ascii="Times New Roman" w:hAnsi="Times New Roman" w:eastAsia="宋体" w:cs="Times New Roman"/>
                <w:sz w:val="24"/>
                <w:szCs w:val="24"/>
                <w:lang w:val="en-US" w:eastAsia="zh-CN"/>
              </w:rPr>
              <w:t>无</w:t>
            </w:r>
            <w:r>
              <w:rPr>
                <w:rFonts w:hint="default" w:ascii="Times New Roman" w:hAnsi="Times New Roman" w:eastAsia="宋体" w:cs="Times New Roman"/>
                <w:sz w:val="24"/>
                <w:szCs w:val="24"/>
              </w:rPr>
              <w:t>逻辑</w:t>
            </w:r>
          </w:p>
        </w:tc>
        <w:tc>
          <w:tcPr>
            <w:tcW w:w="1701" w:type="dxa"/>
          </w:tcPr>
          <w:p>
            <w:pPr>
              <w:spacing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调研不太全面准确、</w:t>
            </w:r>
            <w:r>
              <w:rPr>
                <w:rFonts w:hint="default" w:ascii="Times New Roman" w:hAnsi="Times New Roman" w:eastAsia="宋体" w:cs="Times New Roman"/>
                <w:sz w:val="24"/>
                <w:szCs w:val="24"/>
              </w:rPr>
              <w:t>书写</w:t>
            </w:r>
            <w:r>
              <w:rPr>
                <w:rFonts w:hint="default" w:ascii="Times New Roman" w:hAnsi="Times New Roman" w:eastAsia="宋体" w:cs="Times New Roman"/>
                <w:sz w:val="24"/>
                <w:szCs w:val="24"/>
                <w:lang w:val="en-US" w:eastAsia="zh-CN"/>
              </w:rPr>
              <w:t>不太</w:t>
            </w:r>
            <w:r>
              <w:rPr>
                <w:rFonts w:hint="default" w:ascii="Times New Roman" w:hAnsi="Times New Roman" w:eastAsia="宋体" w:cs="Times New Roman"/>
                <w:sz w:val="24"/>
                <w:szCs w:val="24"/>
              </w:rPr>
              <w:t>规范、</w:t>
            </w:r>
            <w:r>
              <w:rPr>
                <w:rFonts w:hint="default" w:ascii="Times New Roman" w:hAnsi="Times New Roman" w:eastAsia="宋体" w:cs="Times New Roman"/>
                <w:sz w:val="24"/>
                <w:szCs w:val="24"/>
                <w:lang w:val="en-US" w:eastAsia="zh-CN"/>
              </w:rPr>
              <w:t>较为无</w:t>
            </w:r>
            <w:r>
              <w:rPr>
                <w:rFonts w:hint="default" w:ascii="Times New Roman" w:hAnsi="Times New Roman" w:eastAsia="宋体" w:cs="Times New Roman"/>
                <w:sz w:val="24"/>
                <w:szCs w:val="24"/>
              </w:rPr>
              <w:t>条理、</w:t>
            </w:r>
            <w:r>
              <w:rPr>
                <w:rFonts w:hint="default" w:ascii="Times New Roman" w:hAnsi="Times New Roman" w:eastAsia="宋体" w:cs="Times New Roman"/>
                <w:sz w:val="24"/>
                <w:szCs w:val="24"/>
                <w:lang w:val="en-US" w:eastAsia="zh-CN"/>
              </w:rPr>
              <w:t>较为无</w:t>
            </w:r>
            <w:r>
              <w:rPr>
                <w:rFonts w:hint="default" w:ascii="Times New Roman" w:hAnsi="Times New Roman" w:eastAsia="宋体" w:cs="Times New Roman"/>
                <w:sz w:val="24"/>
                <w:szCs w:val="24"/>
              </w:rPr>
              <w:t>逻辑</w:t>
            </w:r>
          </w:p>
        </w:tc>
        <w:tc>
          <w:tcPr>
            <w:tcW w:w="1701" w:type="dxa"/>
          </w:tcPr>
          <w:p>
            <w:pPr>
              <w:spacing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调研较为全面准确、</w:t>
            </w:r>
            <w:r>
              <w:rPr>
                <w:rFonts w:hint="default" w:ascii="Times New Roman" w:hAnsi="Times New Roman" w:eastAsia="宋体" w:cs="Times New Roman"/>
                <w:sz w:val="24"/>
                <w:szCs w:val="24"/>
              </w:rPr>
              <w:t>书写</w:t>
            </w:r>
            <w:r>
              <w:rPr>
                <w:rFonts w:hint="default" w:ascii="Times New Roman" w:hAnsi="Times New Roman" w:eastAsia="宋体" w:cs="Times New Roman"/>
                <w:sz w:val="24"/>
                <w:szCs w:val="24"/>
                <w:lang w:val="en-US" w:eastAsia="zh-CN"/>
              </w:rPr>
              <w:t>较为</w:t>
            </w:r>
            <w:r>
              <w:rPr>
                <w:rFonts w:hint="default" w:ascii="Times New Roman" w:hAnsi="Times New Roman" w:eastAsia="宋体" w:cs="Times New Roman"/>
                <w:sz w:val="24"/>
                <w:szCs w:val="24"/>
              </w:rPr>
              <w:t>规范、</w:t>
            </w:r>
            <w:r>
              <w:rPr>
                <w:rFonts w:hint="default" w:ascii="Times New Roman" w:hAnsi="Times New Roman" w:eastAsia="宋体" w:cs="Times New Roman"/>
                <w:sz w:val="24"/>
                <w:szCs w:val="24"/>
                <w:lang w:val="en-US" w:eastAsia="zh-CN"/>
              </w:rPr>
              <w:t>较为</w:t>
            </w:r>
            <w:r>
              <w:rPr>
                <w:rFonts w:hint="default" w:ascii="Times New Roman" w:hAnsi="Times New Roman" w:eastAsia="宋体" w:cs="Times New Roman"/>
                <w:sz w:val="24"/>
                <w:szCs w:val="24"/>
              </w:rPr>
              <w:t>有条理、</w:t>
            </w:r>
            <w:r>
              <w:rPr>
                <w:rFonts w:hint="default" w:ascii="Times New Roman" w:hAnsi="Times New Roman" w:eastAsia="宋体" w:cs="Times New Roman"/>
                <w:sz w:val="24"/>
                <w:szCs w:val="24"/>
                <w:lang w:val="en-US" w:eastAsia="zh-CN"/>
              </w:rPr>
              <w:t>较为</w:t>
            </w:r>
            <w:r>
              <w:rPr>
                <w:rFonts w:hint="default" w:ascii="Times New Roman" w:hAnsi="Times New Roman" w:eastAsia="宋体" w:cs="Times New Roman"/>
                <w:sz w:val="24"/>
                <w:szCs w:val="24"/>
              </w:rPr>
              <w:t>有逻辑</w:t>
            </w:r>
          </w:p>
        </w:tc>
        <w:tc>
          <w:tcPr>
            <w:tcW w:w="1701" w:type="dxa"/>
          </w:tcPr>
          <w:p>
            <w:pPr>
              <w:spacing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调研全面准确、</w:t>
            </w:r>
            <w:r>
              <w:rPr>
                <w:rFonts w:hint="default" w:ascii="Times New Roman" w:hAnsi="Times New Roman" w:eastAsia="宋体" w:cs="Times New Roman"/>
                <w:sz w:val="24"/>
                <w:szCs w:val="24"/>
              </w:rPr>
              <w:t>书写规范、有条理、有逻辑</w:t>
            </w:r>
          </w:p>
        </w:tc>
      </w:tr>
    </w:tbl>
    <w:p>
      <w:pPr>
        <w:spacing w:line="300" w:lineRule="auto"/>
        <w:rPr>
          <w:rFonts w:eastAsia="黑体"/>
          <w:sz w:val="28"/>
          <w:szCs w:val="28"/>
        </w:rPr>
      </w:pPr>
      <w:bookmarkStart w:id="10" w:name="_引言"/>
      <w:bookmarkEnd w:id="10"/>
      <w:r>
        <w:rPr>
          <w:rFonts w:hint="eastAsia" w:eastAsia="黑体"/>
          <w:sz w:val="28"/>
          <w:szCs w:val="28"/>
        </w:rPr>
        <w:t>五、教材与参考资料</w:t>
      </w:r>
    </w:p>
    <w:p>
      <w:pPr>
        <w:spacing w:line="300" w:lineRule="auto"/>
        <w:rPr>
          <w:rFonts w:eastAsia="黑体"/>
          <w:sz w:val="24"/>
          <w:szCs w:val="24"/>
        </w:rPr>
      </w:pPr>
      <w:r>
        <w:rPr>
          <w:rFonts w:hint="eastAsia" w:asciiTheme="minorEastAsia" w:hAnsiTheme="minorEastAsia" w:eastAsiaTheme="minorEastAsia"/>
          <w:sz w:val="24"/>
          <w:szCs w:val="24"/>
        </w:rPr>
        <w:t xml:space="preserve">  </w:t>
      </w:r>
      <w:r>
        <w:rPr>
          <w:rFonts w:hint="eastAsia" w:eastAsia="黑体"/>
          <w:sz w:val="24"/>
          <w:szCs w:val="24"/>
        </w:rPr>
        <w:t>（一）教材</w:t>
      </w:r>
    </w:p>
    <w:p>
      <w:pPr>
        <w:spacing w:line="300" w:lineRule="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孙丽丽，</w:t>
      </w:r>
      <w:r>
        <w:rPr>
          <w:rFonts w:hint="default" w:asciiTheme="minorEastAsia" w:hAnsiTheme="minorEastAsia" w:eastAsiaTheme="minorEastAsia"/>
          <w:sz w:val="24"/>
          <w:szCs w:val="24"/>
          <w:lang w:eastAsia="zh-CN"/>
        </w:rPr>
        <w:t>《</w:t>
      </w:r>
      <w:r>
        <w:rPr>
          <w:rFonts w:hint="default" w:asciiTheme="minorEastAsia" w:hAnsiTheme="minorEastAsia" w:eastAsiaTheme="minorEastAsia"/>
          <w:sz w:val="24"/>
          <w:szCs w:val="24"/>
        </w:rPr>
        <w:t>危险化学品安全总论</w:t>
      </w:r>
      <w:r>
        <w:rPr>
          <w:rFonts w:hint="default" w:asciiTheme="minorEastAsia" w:hAnsiTheme="minorEastAsia" w:eastAsiaTheme="minorEastAsia"/>
          <w:sz w:val="24"/>
          <w:szCs w:val="24"/>
          <w:lang w:eastAsia="zh-CN"/>
        </w:rPr>
        <w:t>》，</w:t>
      </w:r>
      <w:r>
        <w:rPr>
          <w:rFonts w:hint="default" w:asciiTheme="minorEastAsia" w:hAnsiTheme="minorEastAsia" w:eastAsiaTheme="minorEastAsia"/>
          <w:sz w:val="24"/>
          <w:szCs w:val="24"/>
        </w:rPr>
        <w:t>化学工业出版社</w:t>
      </w:r>
      <w:r>
        <w:rPr>
          <w:rFonts w:hint="default" w:asciiTheme="minorEastAsia" w:hAnsiTheme="minorEastAsia" w:eastAsiaTheme="minorEastAsia"/>
          <w:sz w:val="24"/>
          <w:szCs w:val="24"/>
          <w:lang w:eastAsia="zh-CN"/>
        </w:rPr>
        <w:t>，</w:t>
      </w:r>
      <w:r>
        <w:rPr>
          <w:rFonts w:hint="default" w:asciiTheme="minorEastAsia" w:hAnsiTheme="minorEastAsia" w:eastAsiaTheme="minorEastAsia"/>
          <w:sz w:val="24"/>
          <w:szCs w:val="24"/>
          <w:lang w:val="en-US" w:eastAsia="zh-CN"/>
        </w:rPr>
        <w:t>2021</w:t>
      </w:r>
    </w:p>
    <w:p>
      <w:pPr>
        <w:spacing w:line="300" w:lineRule="auto"/>
        <w:rPr>
          <w:rFonts w:eastAsia="黑体"/>
          <w:sz w:val="28"/>
          <w:szCs w:val="28"/>
        </w:rPr>
      </w:pPr>
      <w:r>
        <w:rPr>
          <w:rFonts w:hint="eastAsia" w:eastAsia="黑体"/>
          <w:sz w:val="24"/>
          <w:szCs w:val="24"/>
        </w:rPr>
        <w:t xml:space="preserve">  （二）主要参考资料：</w:t>
      </w:r>
      <w:r>
        <w:rPr>
          <w:rFonts w:hint="eastAsia" w:eastAsia="黑体"/>
          <w:sz w:val="28"/>
          <w:szCs w:val="28"/>
        </w:rPr>
        <w:t xml:space="preserve"> </w:t>
      </w:r>
    </w:p>
    <w:p>
      <w:pPr>
        <w:autoSpaceDE w:val="0"/>
        <w:autoSpaceDN w:val="0"/>
        <w:spacing w:before="62" w:beforeLines="20" w:after="62" w:afterLines="20"/>
        <w:ind w:left="-57" w:right="-57"/>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r>
        <w:rPr>
          <w:rFonts w:hint="eastAsia" w:cs="Times New Roman"/>
          <w:sz w:val="24"/>
          <w:szCs w:val="24"/>
          <w:lang w:val="en-US" w:eastAsia="zh-CN"/>
        </w:rPr>
        <w:t xml:space="preserve"> </w:t>
      </w:r>
      <w:r>
        <w:rPr>
          <w:rFonts w:hint="eastAsia" w:ascii="Times New Roman" w:hAnsi="Times New Roman" w:eastAsia="宋体" w:cs="Times New Roman"/>
          <w:sz w:val="24"/>
          <w:szCs w:val="24"/>
          <w:lang w:val="en-US" w:eastAsia="zh-CN"/>
        </w:rPr>
        <w:t>孙万付，郭秀云，李运才，《</w:t>
      </w:r>
      <w:r>
        <w:rPr>
          <w:rFonts w:hint="default" w:ascii="Times New Roman" w:hAnsi="Times New Roman" w:eastAsia="宋体" w:cs="Times New Roman"/>
          <w:sz w:val="24"/>
          <w:szCs w:val="24"/>
          <w:lang w:val="en-US" w:eastAsia="zh-CN"/>
        </w:rPr>
        <w:t>危险化学品安全技术全书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化学工业出版社</w:t>
      </w:r>
      <w:r>
        <w:rPr>
          <w:rFonts w:hint="eastAsia" w:ascii="Times New Roman" w:hAnsi="Times New Roman" w:eastAsia="宋体" w:cs="Times New Roman"/>
          <w:sz w:val="24"/>
          <w:szCs w:val="24"/>
          <w:lang w:val="en-US" w:eastAsia="zh-CN"/>
        </w:rPr>
        <w:t>，2017</w:t>
      </w:r>
      <w:r>
        <w:rPr>
          <w:rFonts w:hint="default" w:ascii="Times New Roman" w:hAnsi="Times New Roman" w:eastAsia="宋体" w:cs="Times New Roman"/>
          <w:sz w:val="24"/>
          <w:szCs w:val="24"/>
          <w:lang w:val="en-US" w:eastAsia="zh-CN"/>
        </w:rPr>
        <w:t>；</w:t>
      </w:r>
    </w:p>
    <w:p>
      <w:pPr>
        <w:autoSpaceDE w:val="0"/>
        <w:autoSpaceDN w:val="0"/>
        <w:spacing w:before="62" w:beforeLines="20" w:after="62" w:afterLines="20"/>
        <w:ind w:left="-57" w:right="-57"/>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r>
        <w:rPr>
          <w:rFonts w:hint="eastAsia" w:cs="Times New Roman"/>
          <w:sz w:val="24"/>
          <w:szCs w:val="24"/>
          <w:lang w:val="en-US" w:eastAsia="zh-CN"/>
        </w:rPr>
        <w:t xml:space="preserve"> </w:t>
      </w:r>
      <w:r>
        <w:rPr>
          <w:rFonts w:hint="eastAsia" w:ascii="Times New Roman" w:hAnsi="Times New Roman" w:eastAsia="宋体" w:cs="Times New Roman"/>
          <w:sz w:val="24"/>
          <w:szCs w:val="24"/>
          <w:lang w:val="en-US" w:eastAsia="zh-CN"/>
        </w:rPr>
        <w:t>张海峰，《</w:t>
      </w:r>
      <w:r>
        <w:rPr>
          <w:rFonts w:hint="default" w:ascii="Times New Roman" w:hAnsi="Times New Roman" w:eastAsia="宋体" w:cs="Times New Roman"/>
          <w:sz w:val="24"/>
          <w:szCs w:val="24"/>
          <w:lang w:val="en-US" w:eastAsia="zh-CN"/>
        </w:rPr>
        <w:t>危险化学品安全技术大典</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color w:val="auto"/>
          <w:sz w:val="24"/>
          <w:szCs w:val="24"/>
          <w:u w:val="none"/>
          <w:lang w:val="en-US" w:eastAsia="zh-CN"/>
        </w:rPr>
        <w:t>中国石化出版社</w:t>
      </w:r>
      <w:r>
        <w:rPr>
          <w:rFonts w:hint="eastAsia" w:ascii="Times New Roman" w:hAnsi="Times New Roman" w:eastAsia="宋体" w:cs="Times New Roman"/>
          <w:sz w:val="24"/>
          <w:szCs w:val="24"/>
          <w:lang w:val="en-US" w:eastAsia="zh-CN"/>
        </w:rPr>
        <w:t>，2017</w:t>
      </w:r>
      <w:r>
        <w:rPr>
          <w:rFonts w:hint="eastAsia" w:cs="Times New Roman"/>
          <w:sz w:val="24"/>
          <w:szCs w:val="24"/>
          <w:lang w:val="en-US" w:eastAsia="zh-CN"/>
        </w:rPr>
        <w:t>。</w:t>
      </w:r>
    </w:p>
    <w:p>
      <w:pPr>
        <w:spacing w:line="300" w:lineRule="auto"/>
        <w:rPr>
          <w:rFonts w:eastAsia="黑体"/>
          <w:sz w:val="28"/>
          <w:szCs w:val="28"/>
        </w:rPr>
      </w:pPr>
      <w:r>
        <w:rPr>
          <w:rFonts w:hint="eastAsia" w:eastAsia="黑体"/>
          <w:sz w:val="28"/>
          <w:szCs w:val="28"/>
        </w:rPr>
        <w:t>六、其它说明</w:t>
      </w:r>
    </w:p>
    <w:p>
      <w:pPr>
        <w:pStyle w:val="14"/>
        <w:spacing w:before="0" w:beforeAutospacing="0" w:after="0" w:afterAutospacing="0" w:line="300" w:lineRule="auto"/>
        <w:jc w:val="both"/>
        <w:rPr>
          <w:rFonts w:ascii="黑体" w:hAnsi="黑体" w:eastAsia="黑体"/>
        </w:rPr>
      </w:pPr>
      <w:r>
        <w:rPr>
          <w:rFonts w:hint="eastAsia" w:ascii="黑体" w:hAnsi="黑体" w:eastAsia="黑体"/>
        </w:rPr>
        <w:t xml:space="preserve">大纲执笔人：   </w:t>
      </w:r>
      <w:r>
        <w:rPr>
          <w:rFonts w:hint="eastAsia" w:ascii="黑体" w:hAnsi="黑体" w:eastAsia="黑体"/>
          <w:lang w:val="en-US" w:eastAsia="zh-CN"/>
        </w:rPr>
        <w:t>戴昉纳</w:t>
      </w:r>
      <w:r>
        <w:rPr>
          <w:rFonts w:hint="eastAsia" w:ascii="黑体" w:hAnsi="黑体" w:eastAsia="黑体"/>
        </w:rPr>
        <w:t xml:space="preserve">     审核人（学位点负责人）：</w:t>
      </w:r>
    </w:p>
    <w:p>
      <w:pPr>
        <w:pStyle w:val="14"/>
        <w:spacing w:before="0" w:beforeAutospacing="0" w:after="0" w:afterAutospacing="0" w:line="300" w:lineRule="auto"/>
        <w:jc w:val="both"/>
        <w:rPr>
          <w:rFonts w:hint="eastAsia" w:ascii="inherit" w:hAnsi="inherit"/>
          <w:sz w:val="23"/>
          <w:szCs w:val="23"/>
        </w:rPr>
      </w:pPr>
      <w:r>
        <w:rPr>
          <w:rFonts w:ascii="Calibri" w:hAnsi="Calibri" w:eastAsia="黑体" w:cs="Calibri"/>
        </w:rPr>
        <w:t xml:space="preserve">                     </w:t>
      </w:r>
    </w:p>
    <w:p>
      <w:pPr>
        <w:pStyle w:val="14"/>
        <w:spacing w:before="0" w:beforeAutospacing="0" w:after="0" w:afterAutospacing="0" w:line="300" w:lineRule="auto"/>
        <w:ind w:firstLine="600" w:firstLineChars="250"/>
        <w:jc w:val="both"/>
        <w:rPr>
          <w:rFonts w:hint="eastAsia" w:ascii="inherit" w:hAnsi="inherit"/>
          <w:sz w:val="23"/>
          <w:szCs w:val="23"/>
        </w:rPr>
      </w:pPr>
      <w:r>
        <w:rPr>
          <w:rFonts w:hint="eastAsia" w:ascii="Calibri" w:hAnsi="Calibri" w:eastAsia="黑体" w:cs="Calibri"/>
        </w:rPr>
        <w:t xml:space="preserve">  </w:t>
      </w:r>
      <w:r>
        <w:rPr>
          <w:rFonts w:ascii="Calibri" w:hAnsi="Calibri" w:eastAsia="黑体" w:cs="Calibri"/>
        </w:rPr>
        <w:t xml:space="preserve">                       分管院长</w:t>
      </w:r>
      <w:r>
        <w:rPr>
          <w:rFonts w:hint="eastAsia" w:ascii="黑体" w:hAnsi="黑体" w:eastAsia="黑体"/>
        </w:rPr>
        <w:t>签字：</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inheri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iZDY1NDYxYjNmYzdjZGI4YjJhYWQzM2QyY2Y0Y2YifQ=="/>
  </w:docVars>
  <w:rsids>
    <w:rsidRoot w:val="00576454"/>
    <w:rsid w:val="000041B9"/>
    <w:rsid w:val="0001107E"/>
    <w:rsid w:val="000643E0"/>
    <w:rsid w:val="00090489"/>
    <w:rsid w:val="00093D1A"/>
    <w:rsid w:val="00094CC5"/>
    <w:rsid w:val="000B143C"/>
    <w:rsid w:val="001915DF"/>
    <w:rsid w:val="00240802"/>
    <w:rsid w:val="00241F4E"/>
    <w:rsid w:val="002E7D7D"/>
    <w:rsid w:val="002F75BF"/>
    <w:rsid w:val="00323AF7"/>
    <w:rsid w:val="00354536"/>
    <w:rsid w:val="0039027B"/>
    <w:rsid w:val="0039639C"/>
    <w:rsid w:val="003C6961"/>
    <w:rsid w:val="003D66E7"/>
    <w:rsid w:val="0040341E"/>
    <w:rsid w:val="004B3200"/>
    <w:rsid w:val="004B4AA1"/>
    <w:rsid w:val="004E51F2"/>
    <w:rsid w:val="00543371"/>
    <w:rsid w:val="00554B56"/>
    <w:rsid w:val="00576454"/>
    <w:rsid w:val="005B64AD"/>
    <w:rsid w:val="00606F64"/>
    <w:rsid w:val="00607B06"/>
    <w:rsid w:val="0063419D"/>
    <w:rsid w:val="00650913"/>
    <w:rsid w:val="007D4786"/>
    <w:rsid w:val="007E0789"/>
    <w:rsid w:val="00805168"/>
    <w:rsid w:val="00830930"/>
    <w:rsid w:val="00837079"/>
    <w:rsid w:val="0085241C"/>
    <w:rsid w:val="00856BA3"/>
    <w:rsid w:val="00865618"/>
    <w:rsid w:val="008972CB"/>
    <w:rsid w:val="00960CA0"/>
    <w:rsid w:val="009906F4"/>
    <w:rsid w:val="009C5397"/>
    <w:rsid w:val="00A15452"/>
    <w:rsid w:val="00A23081"/>
    <w:rsid w:val="00A6174B"/>
    <w:rsid w:val="00B942FA"/>
    <w:rsid w:val="00C23DA2"/>
    <w:rsid w:val="00C63F15"/>
    <w:rsid w:val="00E034C9"/>
    <w:rsid w:val="00E253F4"/>
    <w:rsid w:val="00E26ED4"/>
    <w:rsid w:val="00E34506"/>
    <w:rsid w:val="00E52144"/>
    <w:rsid w:val="00E651A8"/>
    <w:rsid w:val="00E735AD"/>
    <w:rsid w:val="00E73C4E"/>
    <w:rsid w:val="00ED4FF0"/>
    <w:rsid w:val="00F36487"/>
    <w:rsid w:val="00FA699B"/>
    <w:rsid w:val="00FE366A"/>
    <w:rsid w:val="00FF47AB"/>
    <w:rsid w:val="0A3F519D"/>
    <w:rsid w:val="1B0B1BE0"/>
    <w:rsid w:val="70BB1B66"/>
    <w:rsid w:val="724D4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kern w:val="0"/>
      <w:sz w:val="21"/>
      <w:szCs w:val="2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pPr>
      <w:adjustRightInd/>
      <w:spacing w:line="240" w:lineRule="auto"/>
      <w:textAlignment w:val="auto"/>
    </w:pPr>
    <w:rPr>
      <w:rFonts w:ascii="宋体" w:hAnsi="Courier New" w:cs="Courier New"/>
      <w:kern w:val="2"/>
      <w:szCs w:val="21"/>
    </w:rPr>
  </w:style>
  <w:style w:type="paragraph" w:styleId="3">
    <w:name w:val="Balloon Text"/>
    <w:basedOn w:val="1"/>
    <w:link w:val="15"/>
    <w:semiHidden/>
    <w:unhideWhenUsed/>
    <w:qFormat/>
    <w:uiPriority w:val="99"/>
    <w:pPr>
      <w:spacing w:line="240" w:lineRule="auto"/>
    </w:pPr>
    <w:rPr>
      <w:sz w:val="18"/>
      <w:szCs w:val="18"/>
    </w:rPr>
  </w:style>
  <w:style w:type="paragraph" w:styleId="4">
    <w:name w:val="footer"/>
    <w:basedOn w:val="1"/>
    <w:link w:val="13"/>
    <w:unhideWhenUsed/>
    <w:uiPriority w:val="99"/>
    <w:pPr>
      <w:tabs>
        <w:tab w:val="center" w:pos="4153"/>
        <w:tab w:val="right" w:pos="8306"/>
      </w:tabs>
      <w:snapToGrid w:val="0"/>
      <w:spacing w:line="240" w:lineRule="atLeast"/>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unhideWhenUsed/>
    <w:qFormat/>
    <w:uiPriority w:val="99"/>
    <w:pPr>
      <w:widowControl/>
      <w:jc w:val="left"/>
    </w:pPr>
    <w:rPr>
      <w:rFonts w:ascii="宋体" w:hAnsi="宋体" w:cs="宋体"/>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customStyle="1" w:styleId="11">
    <w:name w:val="纯文本 字符"/>
    <w:basedOn w:val="9"/>
    <w:link w:val="2"/>
    <w:qFormat/>
    <w:uiPriority w:val="0"/>
    <w:rPr>
      <w:rFonts w:ascii="宋体" w:hAnsi="Courier New" w:eastAsia="宋体" w:cs="Courier New"/>
      <w:szCs w:val="21"/>
    </w:rPr>
  </w:style>
  <w:style w:type="character" w:customStyle="1" w:styleId="12">
    <w:name w:val="页眉 字符"/>
    <w:basedOn w:val="9"/>
    <w:link w:val="5"/>
    <w:qFormat/>
    <w:uiPriority w:val="99"/>
    <w:rPr>
      <w:rFonts w:ascii="Times New Roman" w:hAnsi="Times New Roman" w:eastAsia="宋体" w:cs="Times New Roman"/>
      <w:kern w:val="0"/>
      <w:sz w:val="18"/>
      <w:szCs w:val="18"/>
    </w:rPr>
  </w:style>
  <w:style w:type="character" w:customStyle="1" w:styleId="13">
    <w:name w:val="页脚 字符"/>
    <w:basedOn w:val="9"/>
    <w:link w:val="4"/>
    <w:qFormat/>
    <w:uiPriority w:val="99"/>
    <w:rPr>
      <w:rFonts w:ascii="Times New Roman" w:hAnsi="Times New Roman" w:eastAsia="宋体" w:cs="Times New Roman"/>
      <w:kern w:val="0"/>
      <w:sz w:val="18"/>
      <w:szCs w:val="18"/>
    </w:rPr>
  </w:style>
  <w:style w:type="paragraph" w:customStyle="1" w:styleId="14">
    <w:name w:val="p0"/>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character" w:customStyle="1" w:styleId="15">
    <w:name w:val="批注框文本 字符"/>
    <w:basedOn w:val="9"/>
    <w:link w:val="3"/>
    <w:semiHidden/>
    <w:qFormat/>
    <w:uiPriority w:val="99"/>
    <w:rPr>
      <w:rFonts w:ascii="Times New Roman" w:hAnsi="Times New Roman" w:eastAsia="宋体" w:cs="Times New Roman"/>
      <w:kern w:val="0"/>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2982</Words>
  <Characters>3139</Characters>
  <Lines>15</Lines>
  <Paragraphs>4</Paragraphs>
  <TotalTime>3</TotalTime>
  <ScaleCrop>false</ScaleCrop>
  <LinksUpToDate>false</LinksUpToDate>
  <CharactersWithSpaces>3230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2018-06-25T07:44:00Z</dcterms:created>
  <dc:creator>zadmin</dc:creator>
  <cp:lastModifiedBy>戴昉纳</cp:lastModifiedBy>
  <cp:lastPrinted>2018-06-27T07:57:00Z</cp:lastPrinted>
  <dcterms:modified xsi:type="dcterms:W3CDTF">2022-07-11T03:06:11Z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2B499558922D463E80ACDA160717A75C</vt:lpwstr>
  </property>
</Properties>
</file>